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06286" w14:textId="77777777" w:rsidR="00106AFB" w:rsidRPr="00DD4FBD" w:rsidRDefault="00106AFB" w:rsidP="00106AFB">
      <w:pPr>
        <w:jc w:val="center"/>
        <w:rPr>
          <w:rFonts w:ascii="Times New Roman" w:eastAsia="方正小标宋简体" w:hAnsi="Times New Roman" w:cs="Times New Roman"/>
          <w:sz w:val="32"/>
          <w:szCs w:val="32"/>
        </w:rPr>
      </w:pPr>
    </w:p>
    <w:p w14:paraId="0BBD465A" w14:textId="77777777" w:rsidR="00106AFB" w:rsidRPr="00DD4FBD" w:rsidRDefault="00106AFB" w:rsidP="00106AFB">
      <w:pPr>
        <w:jc w:val="center"/>
        <w:rPr>
          <w:rFonts w:ascii="Times New Roman" w:eastAsia="方正小标宋简体" w:hAnsi="Times New Roman" w:cs="Times New Roman"/>
          <w:sz w:val="32"/>
          <w:szCs w:val="32"/>
        </w:rPr>
      </w:pPr>
    </w:p>
    <w:p w14:paraId="03490372" w14:textId="77777777" w:rsidR="00106AFB" w:rsidRPr="00DD4FBD" w:rsidRDefault="00106AFB" w:rsidP="00106AFB">
      <w:pPr>
        <w:jc w:val="center"/>
        <w:rPr>
          <w:rFonts w:ascii="Times New Roman" w:eastAsia="方正小标宋简体" w:hAnsi="Times New Roman" w:cs="Times New Roman"/>
          <w:sz w:val="32"/>
          <w:szCs w:val="32"/>
        </w:rPr>
      </w:pPr>
    </w:p>
    <w:p w14:paraId="1BADA350" w14:textId="77777777" w:rsidR="00106AFB" w:rsidRPr="00DD4FBD" w:rsidRDefault="00106AFB" w:rsidP="00106AFB">
      <w:pPr>
        <w:jc w:val="center"/>
        <w:rPr>
          <w:rFonts w:ascii="Times New Roman" w:eastAsia="方正小标宋简体" w:hAnsi="Times New Roman" w:cs="Times New Roman"/>
          <w:sz w:val="32"/>
          <w:szCs w:val="32"/>
        </w:rPr>
      </w:pPr>
    </w:p>
    <w:p w14:paraId="3A3FE901" w14:textId="08CA3D34" w:rsidR="00DD456F" w:rsidRPr="00DD4FBD" w:rsidRDefault="005F22AA" w:rsidP="00106AFB">
      <w:pPr>
        <w:jc w:val="center"/>
        <w:rPr>
          <w:rFonts w:ascii="Times New Roman" w:eastAsia="方正小标宋简体" w:hAnsi="Times New Roman" w:cs="Times New Roman"/>
          <w:sz w:val="32"/>
          <w:szCs w:val="32"/>
        </w:rPr>
      </w:pPr>
      <w:proofErr w:type="gramStart"/>
      <w:r>
        <w:rPr>
          <w:rFonts w:ascii="Times New Roman" w:eastAsia="方正小标宋简体" w:hAnsi="Times New Roman" w:cs="Times New Roman" w:hint="eastAsia"/>
          <w:sz w:val="32"/>
          <w:szCs w:val="32"/>
        </w:rPr>
        <w:t>《</w:t>
      </w:r>
      <w:bookmarkStart w:id="0" w:name="_Hlk135508631"/>
      <w:proofErr w:type="gramEnd"/>
      <w:r w:rsidR="00290CE6">
        <w:rPr>
          <w:rFonts w:ascii="Times New Roman" w:eastAsia="方正小标宋简体" w:hAnsi="Times New Roman" w:cs="Times New Roman"/>
          <w:sz w:val="32"/>
          <w:szCs w:val="32"/>
        </w:rPr>
        <w:t>有色金属冶炼场地土壤</w:t>
      </w:r>
      <w:r w:rsidR="00290CE6">
        <w:rPr>
          <w:rFonts w:ascii="Times New Roman" w:eastAsia="方正小标宋简体" w:hAnsi="Times New Roman" w:cs="Times New Roman"/>
          <w:sz w:val="32"/>
          <w:szCs w:val="32"/>
        </w:rPr>
        <w:t>-</w:t>
      </w:r>
      <w:r w:rsidR="00290CE6">
        <w:rPr>
          <w:rFonts w:ascii="Times New Roman" w:eastAsia="方正小标宋简体" w:hAnsi="Times New Roman" w:cs="Times New Roman"/>
          <w:sz w:val="32"/>
          <w:szCs w:val="32"/>
        </w:rPr>
        <w:t>地下水</w:t>
      </w:r>
      <w:r w:rsidR="00106AFB" w:rsidRPr="00DD4FBD">
        <w:rPr>
          <w:rFonts w:ascii="Times New Roman" w:eastAsia="方正小标宋简体" w:hAnsi="Times New Roman" w:cs="Times New Roman"/>
          <w:sz w:val="32"/>
          <w:szCs w:val="32"/>
        </w:rPr>
        <w:t>重金属污染协同修复技术指南</w:t>
      </w:r>
      <w:bookmarkEnd w:id="0"/>
    </w:p>
    <w:p w14:paraId="75F6B571" w14:textId="5479D596" w:rsidR="00106AFB" w:rsidRDefault="00106AFB" w:rsidP="00106AFB">
      <w:pPr>
        <w:jc w:val="center"/>
        <w:rPr>
          <w:rFonts w:ascii="Times New Roman" w:eastAsia="方正小标宋简体" w:hAnsi="Times New Roman" w:cs="Times New Roman"/>
          <w:sz w:val="32"/>
          <w:szCs w:val="32"/>
        </w:rPr>
      </w:pPr>
      <w:r w:rsidRPr="00DD4FBD">
        <w:rPr>
          <w:rFonts w:ascii="Times New Roman" w:eastAsia="方正小标宋简体" w:hAnsi="Times New Roman" w:cs="Times New Roman"/>
          <w:sz w:val="32"/>
          <w:szCs w:val="32"/>
        </w:rPr>
        <w:t>（征求意见稿）</w:t>
      </w:r>
      <w:r w:rsidR="005F22AA">
        <w:rPr>
          <w:rFonts w:ascii="Times New Roman" w:eastAsia="方正小标宋简体" w:hAnsi="Times New Roman" w:cs="Times New Roman" w:hint="eastAsia"/>
          <w:sz w:val="32"/>
          <w:szCs w:val="32"/>
        </w:rPr>
        <w:t>》</w:t>
      </w:r>
    </w:p>
    <w:p w14:paraId="6103B867" w14:textId="5B4FA321" w:rsidR="002156B5" w:rsidRDefault="002156B5" w:rsidP="00106AFB">
      <w:pPr>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2"/>
          <w:szCs w:val="32"/>
        </w:rPr>
        <w:t>编制说明</w:t>
      </w:r>
    </w:p>
    <w:p w14:paraId="27DF7F8E" w14:textId="442D36CA" w:rsidR="00106AFB" w:rsidRPr="00DD4FBD" w:rsidRDefault="00106AFB" w:rsidP="00106AFB">
      <w:pPr>
        <w:jc w:val="center"/>
        <w:rPr>
          <w:rFonts w:ascii="Times New Roman" w:eastAsia="方正小标宋简体" w:hAnsi="Times New Roman" w:cs="Times New Roman"/>
          <w:sz w:val="32"/>
          <w:szCs w:val="32"/>
        </w:rPr>
      </w:pPr>
    </w:p>
    <w:p w14:paraId="159BB2CF" w14:textId="1127775C" w:rsidR="00106AFB" w:rsidRPr="00DD4FBD" w:rsidRDefault="00106AFB" w:rsidP="00106AFB">
      <w:pPr>
        <w:jc w:val="center"/>
        <w:rPr>
          <w:rFonts w:ascii="Times New Roman" w:eastAsia="方正小标宋简体" w:hAnsi="Times New Roman" w:cs="Times New Roman"/>
          <w:sz w:val="32"/>
          <w:szCs w:val="32"/>
        </w:rPr>
      </w:pPr>
    </w:p>
    <w:p w14:paraId="321AB4D4" w14:textId="4597E987" w:rsidR="00106AFB" w:rsidRPr="00DD4FBD" w:rsidRDefault="00106AFB" w:rsidP="00106AFB">
      <w:pPr>
        <w:jc w:val="center"/>
        <w:rPr>
          <w:rFonts w:ascii="Times New Roman" w:eastAsia="方正小标宋简体" w:hAnsi="Times New Roman" w:cs="Times New Roman"/>
          <w:sz w:val="32"/>
          <w:szCs w:val="32"/>
        </w:rPr>
      </w:pPr>
    </w:p>
    <w:p w14:paraId="6FE6C8F1" w14:textId="03B7AAC8" w:rsidR="00106AFB" w:rsidRPr="00DD4FBD" w:rsidRDefault="00106AFB" w:rsidP="00106AFB">
      <w:pPr>
        <w:jc w:val="center"/>
        <w:rPr>
          <w:rFonts w:ascii="Times New Roman" w:eastAsia="方正小标宋简体" w:hAnsi="Times New Roman" w:cs="Times New Roman"/>
          <w:sz w:val="32"/>
          <w:szCs w:val="32"/>
        </w:rPr>
      </w:pPr>
    </w:p>
    <w:p w14:paraId="381F7D6B" w14:textId="2B1B45A4" w:rsidR="00106AFB" w:rsidRPr="00DD4FBD" w:rsidRDefault="00106AFB" w:rsidP="00106AFB">
      <w:pPr>
        <w:jc w:val="center"/>
        <w:rPr>
          <w:rFonts w:ascii="Times New Roman" w:eastAsia="方正小标宋简体" w:hAnsi="Times New Roman" w:cs="Times New Roman"/>
          <w:sz w:val="32"/>
          <w:szCs w:val="32"/>
        </w:rPr>
      </w:pPr>
    </w:p>
    <w:p w14:paraId="504B8144" w14:textId="7BAADBA0" w:rsidR="00106AFB" w:rsidRPr="00DD4FBD" w:rsidRDefault="00106AFB" w:rsidP="00106AFB">
      <w:pPr>
        <w:jc w:val="center"/>
        <w:rPr>
          <w:rFonts w:ascii="Times New Roman" w:eastAsia="方正小标宋简体" w:hAnsi="Times New Roman" w:cs="Times New Roman"/>
          <w:sz w:val="32"/>
          <w:szCs w:val="32"/>
        </w:rPr>
      </w:pPr>
    </w:p>
    <w:p w14:paraId="64B885BB" w14:textId="15EF3379" w:rsidR="00106AFB" w:rsidRPr="00DD4FBD" w:rsidRDefault="00106AFB" w:rsidP="00106AFB">
      <w:pPr>
        <w:jc w:val="center"/>
        <w:rPr>
          <w:rFonts w:ascii="Times New Roman" w:eastAsia="方正小标宋简体" w:hAnsi="Times New Roman" w:cs="Times New Roman"/>
          <w:sz w:val="32"/>
          <w:szCs w:val="32"/>
        </w:rPr>
      </w:pPr>
    </w:p>
    <w:p w14:paraId="149668F3" w14:textId="6944EA65" w:rsidR="00106AFB" w:rsidRPr="00DD4FBD" w:rsidRDefault="00106AFB" w:rsidP="00106AFB">
      <w:pPr>
        <w:jc w:val="center"/>
        <w:rPr>
          <w:rFonts w:ascii="Times New Roman" w:eastAsia="方正小标宋简体" w:hAnsi="Times New Roman" w:cs="Times New Roman"/>
          <w:sz w:val="32"/>
          <w:szCs w:val="32"/>
        </w:rPr>
      </w:pPr>
    </w:p>
    <w:p w14:paraId="13E126C5" w14:textId="3F9913A1" w:rsidR="00106AFB" w:rsidRPr="00DD4FBD" w:rsidRDefault="00106AFB" w:rsidP="00106AFB">
      <w:pPr>
        <w:jc w:val="center"/>
        <w:rPr>
          <w:rFonts w:ascii="Times New Roman" w:eastAsia="方正小标宋简体" w:hAnsi="Times New Roman" w:cs="Times New Roman"/>
          <w:sz w:val="32"/>
          <w:szCs w:val="32"/>
        </w:rPr>
      </w:pPr>
    </w:p>
    <w:p w14:paraId="6E92ECF0" w14:textId="1598B125" w:rsidR="00106AFB" w:rsidRPr="00DD4FBD" w:rsidRDefault="00106AFB" w:rsidP="00106AFB">
      <w:pPr>
        <w:jc w:val="center"/>
        <w:rPr>
          <w:rFonts w:ascii="Times New Roman" w:eastAsia="方正小标宋简体" w:hAnsi="Times New Roman" w:cs="Times New Roman"/>
          <w:sz w:val="32"/>
          <w:szCs w:val="32"/>
        </w:rPr>
      </w:pPr>
    </w:p>
    <w:p w14:paraId="1DD098F5" w14:textId="6688B18A" w:rsidR="00106AFB" w:rsidRPr="00DD4FBD" w:rsidRDefault="00106AFB" w:rsidP="00106AFB">
      <w:pPr>
        <w:jc w:val="center"/>
        <w:rPr>
          <w:rFonts w:ascii="Times New Roman" w:eastAsia="方正小标宋简体" w:hAnsi="Times New Roman" w:cs="Times New Roman"/>
          <w:sz w:val="32"/>
          <w:szCs w:val="32"/>
        </w:rPr>
      </w:pPr>
    </w:p>
    <w:p w14:paraId="250FE05D" w14:textId="6D1F1278" w:rsidR="00106AFB" w:rsidRPr="00DD4FBD" w:rsidRDefault="00106AFB" w:rsidP="00106AFB">
      <w:pPr>
        <w:jc w:val="center"/>
        <w:rPr>
          <w:rFonts w:ascii="Times New Roman" w:eastAsia="方正小标宋简体" w:hAnsi="Times New Roman" w:cs="Times New Roman"/>
          <w:sz w:val="32"/>
          <w:szCs w:val="32"/>
        </w:rPr>
      </w:pPr>
    </w:p>
    <w:p w14:paraId="5C1478C2" w14:textId="18698B5D" w:rsidR="00106AFB" w:rsidRPr="00DD4FBD" w:rsidRDefault="00106AFB" w:rsidP="00106AFB">
      <w:pPr>
        <w:jc w:val="center"/>
        <w:rPr>
          <w:rFonts w:ascii="Times New Roman" w:eastAsia="方正小标宋简体" w:hAnsi="Times New Roman" w:cs="Times New Roman"/>
          <w:sz w:val="32"/>
          <w:szCs w:val="32"/>
        </w:rPr>
      </w:pPr>
    </w:p>
    <w:p w14:paraId="1BAE85D3" w14:textId="2F330A39" w:rsidR="00106AFB" w:rsidRPr="00DD4FBD" w:rsidRDefault="00106AFB" w:rsidP="00106AFB">
      <w:pPr>
        <w:jc w:val="center"/>
        <w:rPr>
          <w:rFonts w:ascii="Times New Roman" w:eastAsia="方正小标宋简体" w:hAnsi="Times New Roman" w:cs="Times New Roman"/>
          <w:sz w:val="32"/>
          <w:szCs w:val="32"/>
        </w:rPr>
      </w:pPr>
      <w:r w:rsidRPr="00DD4FBD">
        <w:rPr>
          <w:rFonts w:ascii="Times New Roman" w:eastAsia="方正小标宋简体" w:hAnsi="Times New Roman" w:cs="Times New Roman"/>
          <w:sz w:val="32"/>
          <w:szCs w:val="32"/>
        </w:rPr>
        <w:t>2023</w:t>
      </w:r>
      <w:r w:rsidRPr="00DD4FBD">
        <w:rPr>
          <w:rFonts w:ascii="Times New Roman" w:eastAsia="方正小标宋简体" w:hAnsi="Times New Roman" w:cs="Times New Roman"/>
          <w:sz w:val="32"/>
          <w:szCs w:val="32"/>
        </w:rPr>
        <w:t>年</w:t>
      </w:r>
      <w:r w:rsidR="002156B5">
        <w:rPr>
          <w:rFonts w:ascii="Times New Roman" w:eastAsia="方正小标宋简体" w:hAnsi="Times New Roman" w:cs="Times New Roman"/>
          <w:sz w:val="32"/>
          <w:szCs w:val="32"/>
        </w:rPr>
        <w:t>6</w:t>
      </w:r>
      <w:r w:rsidRPr="00DD4FBD">
        <w:rPr>
          <w:rFonts w:ascii="Times New Roman" w:eastAsia="方正小标宋简体" w:hAnsi="Times New Roman" w:cs="Times New Roman"/>
          <w:sz w:val="32"/>
          <w:szCs w:val="32"/>
        </w:rPr>
        <w:t>月</w:t>
      </w:r>
    </w:p>
    <w:p w14:paraId="7454A9AE" w14:textId="6EFE6022" w:rsidR="00106AFB" w:rsidRPr="00DD4FBD" w:rsidRDefault="00106AFB" w:rsidP="00106AFB">
      <w:pPr>
        <w:jc w:val="center"/>
        <w:rPr>
          <w:rFonts w:ascii="Times New Roman" w:eastAsia="方正小标宋简体" w:hAnsi="Times New Roman" w:cs="Times New Roman"/>
          <w:sz w:val="32"/>
          <w:szCs w:val="32"/>
        </w:rPr>
      </w:pPr>
    </w:p>
    <w:p w14:paraId="168C4596" w14:textId="1BAFCDF3" w:rsidR="00106AFB" w:rsidRDefault="00106AFB" w:rsidP="00106AFB">
      <w:pPr>
        <w:jc w:val="center"/>
        <w:rPr>
          <w:rFonts w:ascii="Times New Roman" w:eastAsia="黑体" w:hAnsi="Times New Roman" w:cs="Times New Roman"/>
          <w:sz w:val="32"/>
          <w:szCs w:val="32"/>
        </w:rPr>
      </w:pPr>
    </w:p>
    <w:p w14:paraId="09C1E066" w14:textId="77777777" w:rsidR="00266793" w:rsidRPr="00DD4FBD" w:rsidRDefault="00266793" w:rsidP="00266793">
      <w:pPr>
        <w:pStyle w:val="a5"/>
        <w:ind w:firstLineChars="0" w:firstLine="0"/>
        <w:jc w:val="center"/>
        <w:outlineLvl w:val="0"/>
        <w:rPr>
          <w:rFonts w:ascii="Times New Roman" w:eastAsia="黑体" w:hAnsi="Times New Roman" w:cs="Times New Roman"/>
          <w:sz w:val="32"/>
          <w:szCs w:val="32"/>
        </w:rPr>
      </w:pPr>
      <w:bookmarkStart w:id="1" w:name="_Toc136984228"/>
      <w:r w:rsidRPr="00DD4FBD">
        <w:rPr>
          <w:rFonts w:ascii="Times New Roman" w:eastAsia="黑体" w:hAnsi="Times New Roman" w:cs="Times New Roman"/>
          <w:sz w:val="32"/>
          <w:szCs w:val="32"/>
        </w:rPr>
        <w:t>目</w:t>
      </w:r>
      <w:r w:rsidRPr="00DD4FBD">
        <w:rPr>
          <w:rFonts w:ascii="Times New Roman" w:eastAsia="黑体" w:hAnsi="Times New Roman" w:cs="Times New Roman"/>
          <w:sz w:val="32"/>
          <w:szCs w:val="32"/>
        </w:rPr>
        <w:t xml:space="preserve"> </w:t>
      </w:r>
      <w:r w:rsidRPr="00DD4FBD">
        <w:rPr>
          <w:rFonts w:ascii="Times New Roman" w:eastAsia="黑体" w:hAnsi="Times New Roman" w:cs="Times New Roman"/>
          <w:sz w:val="32"/>
          <w:szCs w:val="32"/>
        </w:rPr>
        <w:t>录</w:t>
      </w:r>
      <w:bookmarkEnd w:id="1"/>
    </w:p>
    <w:sdt>
      <w:sdtPr>
        <w:rPr>
          <w:rFonts w:ascii="Times New Roman" w:eastAsia="宋体" w:hAnsi="Times New Roman" w:cstheme="minorBidi"/>
          <w:b/>
          <w:bCs/>
          <w:caps/>
          <w:kern w:val="2"/>
          <w:sz w:val="20"/>
          <w:szCs w:val="20"/>
        </w:rPr>
        <w:id w:val="-1757511419"/>
        <w:docPartObj>
          <w:docPartGallery w:val="Table of Contents"/>
          <w:docPartUnique/>
        </w:docPartObj>
      </w:sdtPr>
      <w:sdtEndPr>
        <w:rPr>
          <w:rFonts w:asciiTheme="minorHAnsi" w:eastAsiaTheme="minorEastAsia" w:hAnsiTheme="minorHAnsi"/>
          <w:b w:val="0"/>
          <w:bCs w:val="0"/>
          <w:caps w:val="0"/>
          <w:sz w:val="28"/>
          <w:szCs w:val="28"/>
        </w:rPr>
      </w:sdtEndPr>
      <w:sdtContent>
        <w:p w14:paraId="62B0E0EC" w14:textId="22DE779D" w:rsidR="00266793" w:rsidRPr="00266793" w:rsidRDefault="00266793" w:rsidP="00266793">
          <w:pPr>
            <w:pStyle w:val="TOC1"/>
            <w:tabs>
              <w:tab w:val="right" w:leader="dot" w:pos="8296"/>
            </w:tabs>
            <w:spacing w:line="480" w:lineRule="exact"/>
            <w:rPr>
              <w:rFonts w:cstheme="minorBidi"/>
              <w:noProof/>
              <w:kern w:val="2"/>
              <w:sz w:val="28"/>
              <w:szCs w:val="28"/>
            </w:rPr>
          </w:pPr>
          <w:r w:rsidRPr="00266793">
            <w:rPr>
              <w:rFonts w:ascii="Times New Roman" w:eastAsia="宋体" w:hAnsi="Times New Roman"/>
              <w:b/>
              <w:bCs/>
              <w:caps/>
              <w:sz w:val="28"/>
              <w:szCs w:val="28"/>
            </w:rPr>
            <w:fldChar w:fldCharType="begin"/>
          </w:r>
          <w:r w:rsidRPr="00266793">
            <w:rPr>
              <w:rFonts w:ascii="Times New Roman" w:hAnsi="Times New Roman"/>
              <w:sz w:val="28"/>
              <w:szCs w:val="28"/>
            </w:rPr>
            <w:instrText xml:space="preserve"> TOC \o "1-3" \h \z \u </w:instrText>
          </w:r>
          <w:r w:rsidRPr="00266793">
            <w:rPr>
              <w:rFonts w:ascii="Times New Roman" w:eastAsia="宋体" w:hAnsi="Times New Roman"/>
              <w:b/>
              <w:bCs/>
              <w:caps/>
              <w:sz w:val="28"/>
              <w:szCs w:val="28"/>
            </w:rPr>
            <w:fldChar w:fldCharType="separate"/>
          </w:r>
          <w:hyperlink w:anchor="_Toc136984228" w:history="1">
            <w:r w:rsidRPr="00266793">
              <w:rPr>
                <w:rStyle w:val="ac"/>
                <w:rFonts w:ascii="Times New Roman" w:eastAsia="黑体" w:hAnsi="Times New Roman"/>
                <w:noProof/>
                <w:sz w:val="28"/>
                <w:szCs w:val="28"/>
              </w:rPr>
              <w:t>目</w:t>
            </w:r>
            <w:r w:rsidRPr="00266793">
              <w:rPr>
                <w:rStyle w:val="ac"/>
                <w:rFonts w:ascii="Times New Roman" w:eastAsia="黑体" w:hAnsi="Times New Roman"/>
                <w:noProof/>
                <w:sz w:val="28"/>
                <w:szCs w:val="28"/>
              </w:rPr>
              <w:t xml:space="preserve"> </w:t>
            </w:r>
            <w:r w:rsidRPr="00266793">
              <w:rPr>
                <w:rStyle w:val="ac"/>
                <w:rFonts w:ascii="Times New Roman" w:eastAsia="黑体" w:hAnsi="Times New Roman"/>
                <w:noProof/>
                <w:sz w:val="28"/>
                <w:szCs w:val="28"/>
              </w:rPr>
              <w:t>录</w:t>
            </w:r>
            <w:r w:rsidRPr="00266793">
              <w:rPr>
                <w:noProof/>
                <w:webHidden/>
                <w:sz w:val="28"/>
                <w:szCs w:val="28"/>
              </w:rPr>
              <w:tab/>
            </w:r>
            <w:r w:rsidRPr="00266793">
              <w:rPr>
                <w:noProof/>
                <w:webHidden/>
                <w:sz w:val="28"/>
                <w:szCs w:val="28"/>
              </w:rPr>
              <w:fldChar w:fldCharType="begin"/>
            </w:r>
            <w:r w:rsidRPr="00266793">
              <w:rPr>
                <w:noProof/>
                <w:webHidden/>
                <w:sz w:val="28"/>
                <w:szCs w:val="28"/>
              </w:rPr>
              <w:instrText xml:space="preserve"> PAGEREF _Toc136984228 \h </w:instrText>
            </w:r>
            <w:r w:rsidRPr="00266793">
              <w:rPr>
                <w:noProof/>
                <w:webHidden/>
                <w:sz w:val="28"/>
                <w:szCs w:val="28"/>
              </w:rPr>
            </w:r>
            <w:r w:rsidRPr="00266793">
              <w:rPr>
                <w:noProof/>
                <w:webHidden/>
                <w:sz w:val="28"/>
                <w:szCs w:val="28"/>
              </w:rPr>
              <w:fldChar w:fldCharType="separate"/>
            </w:r>
            <w:r w:rsidRPr="00266793">
              <w:rPr>
                <w:noProof/>
                <w:webHidden/>
                <w:sz w:val="28"/>
                <w:szCs w:val="28"/>
              </w:rPr>
              <w:t>2</w:t>
            </w:r>
            <w:r w:rsidRPr="00266793">
              <w:rPr>
                <w:noProof/>
                <w:webHidden/>
                <w:sz w:val="28"/>
                <w:szCs w:val="28"/>
              </w:rPr>
              <w:fldChar w:fldCharType="end"/>
            </w:r>
          </w:hyperlink>
        </w:p>
        <w:p w14:paraId="36B19E2B" w14:textId="3972CA5A"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29" w:history="1">
            <w:r w:rsidR="00266793" w:rsidRPr="00266793">
              <w:rPr>
                <w:rStyle w:val="ac"/>
                <w:rFonts w:ascii="Times New Roman" w:eastAsia="黑体" w:hAnsi="Times New Roman"/>
                <w:noProof/>
                <w:sz w:val="28"/>
                <w:szCs w:val="28"/>
              </w:rPr>
              <w:t>前</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言</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_Toc136984229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2</w:t>
            </w:r>
            <w:r w:rsidR="00266793" w:rsidRPr="00266793">
              <w:rPr>
                <w:noProof/>
                <w:webHidden/>
                <w:sz w:val="28"/>
                <w:szCs w:val="28"/>
              </w:rPr>
              <w:fldChar w:fldCharType="end"/>
            </w:r>
          </w:hyperlink>
        </w:p>
        <w:p w14:paraId="570DA8B1" w14:textId="567FB424"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30" w:history="1">
            <w:r w:rsidR="00266793" w:rsidRPr="00266793">
              <w:rPr>
                <w:rStyle w:val="ac"/>
                <w:rFonts w:ascii="Times New Roman" w:eastAsia="黑体" w:hAnsi="Times New Roman"/>
                <w:noProof/>
                <w:sz w:val="28"/>
                <w:szCs w:val="28"/>
              </w:rPr>
              <w:t>第一章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工作简况</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_Toc136984230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3</w:t>
            </w:r>
            <w:r w:rsidR="00266793" w:rsidRPr="00266793">
              <w:rPr>
                <w:noProof/>
                <w:webHidden/>
                <w:sz w:val="28"/>
                <w:szCs w:val="28"/>
              </w:rPr>
              <w:fldChar w:fldCharType="end"/>
            </w:r>
          </w:hyperlink>
        </w:p>
        <w:p w14:paraId="420D7CAC" w14:textId="2DD698E8"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1" w:history="1">
            <w:r w:rsidR="00266793" w:rsidRPr="00266793">
              <w:rPr>
                <w:rStyle w:val="ac"/>
                <w:rFonts w:ascii="Times New Roman" w:eastAsia="楷体" w:hAnsi="Times New Roman"/>
                <w:b/>
                <w:bCs/>
                <w:noProof/>
                <w:sz w:val="28"/>
                <w:szCs w:val="28"/>
              </w:rPr>
              <w:t>1.</w:t>
            </w:r>
            <w:r w:rsidR="00266793" w:rsidRPr="00266793">
              <w:rPr>
                <w:rStyle w:val="ac"/>
                <w:rFonts w:ascii="楷体" w:eastAsia="楷体" w:hAnsi="楷体"/>
                <w:b/>
                <w:bCs/>
                <w:noProof/>
                <w:sz w:val="28"/>
                <w:szCs w:val="28"/>
              </w:rPr>
              <w:t>任务来源</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_Toc136984231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3</w:t>
            </w:r>
            <w:r w:rsidR="00266793" w:rsidRPr="00266793">
              <w:rPr>
                <w:noProof/>
                <w:webHidden/>
                <w:sz w:val="28"/>
                <w:szCs w:val="28"/>
              </w:rPr>
              <w:fldChar w:fldCharType="end"/>
            </w:r>
          </w:hyperlink>
        </w:p>
        <w:p w14:paraId="1A749B51" w14:textId="6CCA2D90"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2" w:history="1">
            <w:r w:rsidR="00266793" w:rsidRPr="00266793">
              <w:rPr>
                <w:rStyle w:val="ac"/>
                <w:rFonts w:ascii="Times New Roman" w:eastAsia="楷体" w:hAnsi="Times New Roman"/>
                <w:b/>
                <w:bCs/>
                <w:noProof/>
                <w:sz w:val="28"/>
                <w:szCs w:val="28"/>
              </w:rPr>
              <w:t>2.</w:t>
            </w:r>
            <w:r w:rsidR="00266793" w:rsidRPr="00266793">
              <w:rPr>
                <w:rStyle w:val="ac"/>
                <w:rFonts w:ascii="Times New Roman" w:eastAsia="楷体" w:hAnsi="Times New Roman"/>
                <w:b/>
                <w:bCs/>
                <w:noProof/>
                <w:sz w:val="28"/>
                <w:szCs w:val="28"/>
              </w:rPr>
              <w:t>标准起草单位和主要起草人</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_Toc136984232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4</w:t>
            </w:r>
            <w:r w:rsidR="00266793" w:rsidRPr="00266793">
              <w:rPr>
                <w:noProof/>
                <w:webHidden/>
                <w:sz w:val="28"/>
                <w:szCs w:val="28"/>
              </w:rPr>
              <w:fldChar w:fldCharType="end"/>
            </w:r>
          </w:hyperlink>
        </w:p>
        <w:p w14:paraId="06773B2F" w14:textId="32EFEF37"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3" w:history="1">
            <w:r w:rsidR="00266793" w:rsidRPr="00266793">
              <w:rPr>
                <w:rStyle w:val="ac"/>
                <w:rFonts w:ascii="Times New Roman" w:eastAsia="楷体" w:hAnsi="Times New Roman"/>
                <w:b/>
                <w:bCs/>
                <w:noProof/>
                <w:sz w:val="28"/>
                <w:szCs w:val="28"/>
              </w:rPr>
              <w:t>3.</w:t>
            </w:r>
            <w:r w:rsidR="00266793" w:rsidRPr="00266793">
              <w:rPr>
                <w:rStyle w:val="ac"/>
                <w:rFonts w:ascii="Times New Roman" w:eastAsia="楷体" w:hAnsi="Times New Roman"/>
                <w:b/>
                <w:bCs/>
                <w:noProof/>
                <w:sz w:val="28"/>
                <w:szCs w:val="28"/>
              </w:rPr>
              <w:t>工作过程</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_Toc136984233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4</w:t>
            </w:r>
            <w:r w:rsidR="00266793" w:rsidRPr="00266793">
              <w:rPr>
                <w:noProof/>
                <w:webHidden/>
                <w:sz w:val="28"/>
                <w:szCs w:val="28"/>
              </w:rPr>
              <w:fldChar w:fldCharType="end"/>
            </w:r>
          </w:hyperlink>
        </w:p>
        <w:p w14:paraId="27263BDD" w14:textId="12D1016F"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34" w:history="1">
            <w:r w:rsidR="00266793" w:rsidRPr="00266793">
              <w:rPr>
                <w:rStyle w:val="ac"/>
                <w:rFonts w:ascii="Times New Roman" w:eastAsia="黑体" w:hAnsi="Times New Roman"/>
                <w:noProof/>
                <w:sz w:val="28"/>
                <w:szCs w:val="28"/>
              </w:rPr>
              <w:t>第二章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标准编制原则和确定主要内容的论据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_Toc136984234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5</w:t>
            </w:r>
            <w:r w:rsidR="00266793" w:rsidRPr="00266793">
              <w:rPr>
                <w:noProof/>
                <w:webHidden/>
                <w:sz w:val="28"/>
                <w:szCs w:val="28"/>
              </w:rPr>
              <w:fldChar w:fldCharType="end"/>
            </w:r>
          </w:hyperlink>
        </w:p>
        <w:p w14:paraId="00D35333" w14:textId="20D7233A"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5" w:history="1">
            <w:r w:rsidR="00266793" w:rsidRPr="00266793">
              <w:rPr>
                <w:rStyle w:val="ac"/>
                <w:rFonts w:ascii="Times New Roman" w:eastAsia="楷体" w:hAnsi="Times New Roman"/>
                <w:b/>
                <w:bCs/>
                <w:noProof/>
                <w:sz w:val="28"/>
                <w:szCs w:val="28"/>
              </w:rPr>
              <w:t>1.</w:t>
            </w:r>
            <w:r w:rsidR="00266793" w:rsidRPr="00266793">
              <w:rPr>
                <w:rStyle w:val="ac"/>
                <w:rFonts w:ascii="楷体" w:eastAsia="楷体" w:hAnsi="楷体"/>
                <w:b/>
                <w:bCs/>
                <w:noProof/>
                <w:sz w:val="28"/>
                <w:szCs w:val="28"/>
              </w:rPr>
              <w:t>基本原则</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_Toc136984235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6</w:t>
            </w:r>
            <w:r w:rsidR="00266793" w:rsidRPr="00266793">
              <w:rPr>
                <w:noProof/>
                <w:webHidden/>
                <w:sz w:val="28"/>
                <w:szCs w:val="28"/>
              </w:rPr>
              <w:fldChar w:fldCharType="end"/>
            </w:r>
          </w:hyperlink>
        </w:p>
        <w:p w14:paraId="462B6AB3" w14:textId="3E49462C"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6" w:history="1">
            <w:r w:rsidR="00266793" w:rsidRPr="00266793">
              <w:rPr>
                <w:rStyle w:val="ac"/>
                <w:rFonts w:ascii="Times New Roman" w:eastAsia="楷体" w:hAnsi="Times New Roman"/>
                <w:b/>
                <w:bCs/>
                <w:noProof/>
                <w:sz w:val="28"/>
                <w:szCs w:val="28"/>
              </w:rPr>
              <w:t>2.</w:t>
            </w:r>
            <w:r w:rsidR="00266793" w:rsidRPr="00266793">
              <w:rPr>
                <w:rStyle w:val="ac"/>
                <w:rFonts w:ascii="楷体" w:eastAsia="楷体" w:hAnsi="楷体"/>
                <w:b/>
                <w:bCs/>
                <w:noProof/>
                <w:sz w:val="28"/>
                <w:szCs w:val="28"/>
              </w:rPr>
              <w:t>标准编制的目的任务</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_Toc136984236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6</w:t>
            </w:r>
            <w:r w:rsidR="00266793" w:rsidRPr="00266793">
              <w:rPr>
                <w:noProof/>
                <w:webHidden/>
                <w:sz w:val="28"/>
                <w:szCs w:val="28"/>
              </w:rPr>
              <w:fldChar w:fldCharType="end"/>
            </w:r>
          </w:hyperlink>
        </w:p>
        <w:p w14:paraId="0AA91E16" w14:textId="18F07115"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7" w:history="1">
            <w:r w:rsidR="00266793" w:rsidRPr="00266793">
              <w:rPr>
                <w:rStyle w:val="ac"/>
                <w:rFonts w:ascii="Times New Roman" w:eastAsia="楷体" w:hAnsi="Times New Roman"/>
                <w:b/>
                <w:bCs/>
                <w:noProof/>
                <w:sz w:val="28"/>
                <w:szCs w:val="28"/>
              </w:rPr>
              <w:t>3.</w:t>
            </w:r>
            <w:r w:rsidR="00266793" w:rsidRPr="00266793">
              <w:rPr>
                <w:rStyle w:val="ac"/>
                <w:rFonts w:ascii="楷体" w:eastAsia="楷体" w:hAnsi="楷体"/>
                <w:b/>
                <w:bCs/>
                <w:noProof/>
                <w:sz w:val="28"/>
                <w:szCs w:val="28"/>
              </w:rPr>
              <w:t>确定主要内容的论据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_Toc136984237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6</w:t>
            </w:r>
            <w:r w:rsidR="00266793" w:rsidRPr="00266793">
              <w:rPr>
                <w:noProof/>
                <w:webHidden/>
                <w:sz w:val="28"/>
                <w:szCs w:val="28"/>
              </w:rPr>
              <w:fldChar w:fldCharType="end"/>
            </w:r>
          </w:hyperlink>
        </w:p>
        <w:p w14:paraId="14F3F4C2" w14:textId="6DE67929" w:rsidR="00266793" w:rsidRPr="00266793" w:rsidRDefault="00D86730" w:rsidP="00266793">
          <w:pPr>
            <w:pStyle w:val="TOC2"/>
            <w:tabs>
              <w:tab w:val="right" w:leader="dot" w:pos="8296"/>
            </w:tabs>
            <w:spacing w:line="480" w:lineRule="exact"/>
            <w:rPr>
              <w:rFonts w:cstheme="minorBidi"/>
              <w:noProof/>
              <w:kern w:val="2"/>
              <w:sz w:val="28"/>
              <w:szCs w:val="28"/>
            </w:rPr>
          </w:pPr>
          <w:hyperlink w:anchor="_Toc136984238" w:history="1">
            <w:r w:rsidR="00266793" w:rsidRPr="00266793">
              <w:rPr>
                <w:rStyle w:val="ac"/>
                <w:rFonts w:ascii="Times New Roman" w:eastAsia="楷体" w:hAnsi="Times New Roman"/>
                <w:b/>
                <w:bCs/>
                <w:noProof/>
                <w:sz w:val="28"/>
                <w:szCs w:val="28"/>
              </w:rPr>
              <w:t>4.</w:t>
            </w:r>
            <w:r w:rsidR="00266793" w:rsidRPr="00266793">
              <w:rPr>
                <w:rStyle w:val="ac"/>
                <w:noProof/>
                <w:sz w:val="28"/>
                <w:szCs w:val="28"/>
              </w:rPr>
              <w:t xml:space="preserve"> </w:t>
            </w:r>
            <w:r w:rsidR="00266793" w:rsidRPr="00266793">
              <w:rPr>
                <w:rStyle w:val="ac"/>
                <w:rFonts w:ascii="楷体" w:eastAsia="楷体" w:hAnsi="楷体"/>
                <w:b/>
                <w:bCs/>
                <w:noProof/>
                <w:sz w:val="28"/>
                <w:szCs w:val="28"/>
              </w:rPr>
              <w:t>标准编制的技术路线</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_Toc136984238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7</w:t>
            </w:r>
            <w:r w:rsidR="00266793" w:rsidRPr="00266793">
              <w:rPr>
                <w:noProof/>
                <w:webHidden/>
                <w:sz w:val="28"/>
                <w:szCs w:val="28"/>
              </w:rPr>
              <w:fldChar w:fldCharType="end"/>
            </w:r>
          </w:hyperlink>
        </w:p>
        <w:p w14:paraId="6E0163E1" w14:textId="3C7036D9"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39" w:history="1">
            <w:r w:rsidR="00266793" w:rsidRPr="00266793">
              <w:rPr>
                <w:rStyle w:val="ac"/>
                <w:rFonts w:ascii="Times New Roman" w:eastAsia="黑体" w:hAnsi="Times New Roman"/>
                <w:noProof/>
                <w:sz w:val="28"/>
                <w:szCs w:val="28"/>
              </w:rPr>
              <w:t>第三章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综述报告及预期效果</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_Toc136984239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9</w:t>
            </w:r>
            <w:r w:rsidR="00266793" w:rsidRPr="00266793">
              <w:rPr>
                <w:noProof/>
                <w:webHidden/>
                <w:sz w:val="28"/>
                <w:szCs w:val="28"/>
              </w:rPr>
              <w:fldChar w:fldCharType="end"/>
            </w:r>
          </w:hyperlink>
        </w:p>
        <w:p w14:paraId="4661B1CA" w14:textId="5A8ECF60"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0" w:history="1">
            <w:r w:rsidR="00266793" w:rsidRPr="00266793">
              <w:rPr>
                <w:rStyle w:val="ac"/>
                <w:rFonts w:ascii="Times New Roman" w:eastAsia="黑体" w:hAnsi="Times New Roman"/>
                <w:noProof/>
                <w:sz w:val="28"/>
                <w:szCs w:val="28"/>
              </w:rPr>
              <w:t>第四章</w:t>
            </w:r>
            <w:r w:rsidR="00266793" w:rsidRPr="00266793">
              <w:rPr>
                <w:rStyle w:val="ac"/>
                <w:rFonts w:ascii="Times New Roman" w:eastAsia="黑体" w:hAnsi="Times New Roman"/>
                <w:noProof/>
                <w:sz w:val="28"/>
                <w:szCs w:val="28"/>
              </w:rPr>
              <w:t xml:space="preserve"> </w:t>
            </w:r>
            <w:r w:rsidR="00266793">
              <w:rPr>
                <w:rStyle w:val="ac"/>
                <w:rFonts w:ascii="Times New Roman" w:eastAsia="黑体" w:hAnsi="Times New Roman" w:hint="eastAsia"/>
                <w:noProof/>
                <w:sz w:val="28"/>
                <w:szCs w:val="28"/>
              </w:rPr>
              <w:t>与</w:t>
            </w:r>
            <w:r w:rsidR="00266793" w:rsidRPr="00266793">
              <w:rPr>
                <w:rStyle w:val="ac"/>
                <w:rFonts w:ascii="Times New Roman" w:eastAsia="黑体" w:hAnsi="Times New Roman"/>
                <w:noProof/>
                <w:sz w:val="28"/>
                <w:szCs w:val="28"/>
              </w:rPr>
              <w:t>国外同类标准水平的对比</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_Toc136984240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11</w:t>
            </w:r>
            <w:r w:rsidR="00266793" w:rsidRPr="00266793">
              <w:rPr>
                <w:noProof/>
                <w:webHidden/>
                <w:sz w:val="28"/>
                <w:szCs w:val="28"/>
              </w:rPr>
              <w:fldChar w:fldCharType="end"/>
            </w:r>
          </w:hyperlink>
        </w:p>
        <w:p w14:paraId="2CEE6062" w14:textId="405BEFD6"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1" w:history="1">
            <w:r w:rsidR="00266793" w:rsidRPr="00266793">
              <w:rPr>
                <w:rStyle w:val="ac"/>
                <w:rFonts w:ascii="Times New Roman" w:eastAsia="黑体" w:hAnsi="Times New Roman"/>
                <w:noProof/>
                <w:sz w:val="28"/>
                <w:szCs w:val="28"/>
              </w:rPr>
              <w:t>第五章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与有关的现行法律、法规和强制性标准的关系</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_Toc136984241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12</w:t>
            </w:r>
            <w:r w:rsidR="00266793" w:rsidRPr="00266793">
              <w:rPr>
                <w:noProof/>
                <w:webHidden/>
                <w:sz w:val="28"/>
                <w:szCs w:val="28"/>
              </w:rPr>
              <w:fldChar w:fldCharType="end"/>
            </w:r>
          </w:hyperlink>
        </w:p>
        <w:p w14:paraId="4FF46CD0" w14:textId="316AC0AB"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2" w:history="1">
            <w:r w:rsidR="00266793" w:rsidRPr="00266793">
              <w:rPr>
                <w:rStyle w:val="ac"/>
                <w:rFonts w:ascii="Times New Roman" w:eastAsia="黑体" w:hAnsi="Times New Roman"/>
                <w:noProof/>
                <w:sz w:val="28"/>
                <w:szCs w:val="28"/>
              </w:rPr>
              <w:t>第六章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重大分歧意见的处理经过和依据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_Toc136984242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12</w:t>
            </w:r>
            <w:r w:rsidR="00266793" w:rsidRPr="00266793">
              <w:rPr>
                <w:noProof/>
                <w:webHidden/>
                <w:sz w:val="28"/>
                <w:szCs w:val="28"/>
              </w:rPr>
              <w:fldChar w:fldCharType="end"/>
            </w:r>
          </w:hyperlink>
        </w:p>
        <w:p w14:paraId="6EFF3FE7" w14:textId="2B41F3C7"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3" w:history="1">
            <w:r w:rsidR="00266793" w:rsidRPr="00266793">
              <w:rPr>
                <w:rStyle w:val="ac"/>
                <w:rFonts w:ascii="Times New Roman" w:eastAsia="黑体" w:hAnsi="Times New Roman"/>
                <w:noProof/>
                <w:sz w:val="28"/>
                <w:szCs w:val="28"/>
              </w:rPr>
              <w:t>第七章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标准作为强制性标准或推荐性标准的建议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_Toc136984243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12</w:t>
            </w:r>
            <w:r w:rsidR="00266793" w:rsidRPr="00266793">
              <w:rPr>
                <w:noProof/>
                <w:webHidden/>
                <w:sz w:val="28"/>
                <w:szCs w:val="28"/>
              </w:rPr>
              <w:fldChar w:fldCharType="end"/>
            </w:r>
          </w:hyperlink>
        </w:p>
        <w:p w14:paraId="514360AD" w14:textId="4314BEC7"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4" w:history="1">
            <w:r w:rsidR="00266793" w:rsidRPr="00266793">
              <w:rPr>
                <w:rStyle w:val="ac"/>
                <w:rFonts w:ascii="Times New Roman" w:eastAsia="黑体" w:hAnsi="Times New Roman"/>
                <w:noProof/>
                <w:sz w:val="28"/>
                <w:szCs w:val="28"/>
              </w:rPr>
              <w:t>第八章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贯彻标准的要求和措施建议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_Toc136984244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12</w:t>
            </w:r>
            <w:r w:rsidR="00266793" w:rsidRPr="00266793">
              <w:rPr>
                <w:noProof/>
                <w:webHidden/>
                <w:sz w:val="28"/>
                <w:szCs w:val="28"/>
              </w:rPr>
              <w:fldChar w:fldCharType="end"/>
            </w:r>
          </w:hyperlink>
        </w:p>
        <w:p w14:paraId="20E0AC15" w14:textId="4F69E60F"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5" w:history="1">
            <w:r w:rsidR="00266793" w:rsidRPr="00266793">
              <w:rPr>
                <w:rStyle w:val="ac"/>
                <w:rFonts w:ascii="Times New Roman" w:eastAsia="黑体" w:hAnsi="Times New Roman"/>
                <w:noProof/>
                <w:sz w:val="28"/>
                <w:szCs w:val="28"/>
              </w:rPr>
              <w:t>第九章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废止现行有关标准的建议</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_Toc136984245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13</w:t>
            </w:r>
            <w:r w:rsidR="00266793" w:rsidRPr="00266793">
              <w:rPr>
                <w:noProof/>
                <w:webHidden/>
                <w:sz w:val="28"/>
                <w:szCs w:val="28"/>
              </w:rPr>
              <w:fldChar w:fldCharType="end"/>
            </w:r>
          </w:hyperlink>
        </w:p>
        <w:p w14:paraId="6636764C" w14:textId="5FE094A9" w:rsidR="00266793" w:rsidRPr="00266793" w:rsidRDefault="00D86730" w:rsidP="00266793">
          <w:pPr>
            <w:pStyle w:val="TOC1"/>
            <w:tabs>
              <w:tab w:val="right" w:leader="dot" w:pos="8296"/>
            </w:tabs>
            <w:spacing w:line="480" w:lineRule="exact"/>
            <w:rPr>
              <w:rFonts w:cstheme="minorBidi"/>
              <w:noProof/>
              <w:kern w:val="2"/>
              <w:sz w:val="28"/>
              <w:szCs w:val="28"/>
            </w:rPr>
          </w:pPr>
          <w:hyperlink w:anchor="_Toc136984246" w:history="1">
            <w:r w:rsidR="00266793" w:rsidRPr="00266793">
              <w:rPr>
                <w:rStyle w:val="ac"/>
                <w:rFonts w:ascii="Times New Roman" w:eastAsia="黑体" w:hAnsi="Times New Roman"/>
                <w:noProof/>
                <w:sz w:val="28"/>
                <w:szCs w:val="28"/>
              </w:rPr>
              <w:t>第十章</w:t>
            </w:r>
            <w:r w:rsidR="00266793" w:rsidRPr="00266793">
              <w:rPr>
                <w:rStyle w:val="ac"/>
                <w:rFonts w:ascii="Times New Roman" w:eastAsia="黑体" w:hAnsi="Times New Roman"/>
                <w:noProof/>
                <w:sz w:val="28"/>
                <w:szCs w:val="28"/>
              </w:rPr>
              <w:t xml:space="preserve"> </w:t>
            </w:r>
            <w:r w:rsidR="00266793" w:rsidRPr="00266793">
              <w:rPr>
                <w:rStyle w:val="ac"/>
                <w:rFonts w:ascii="Times New Roman" w:eastAsia="黑体" w:hAnsi="Times New Roman"/>
                <w:noProof/>
                <w:sz w:val="28"/>
                <w:szCs w:val="28"/>
              </w:rPr>
              <w:t>其他应予说明的事项</w:t>
            </w:r>
            <w:r w:rsidR="00266793" w:rsidRPr="00266793">
              <w:rPr>
                <w:noProof/>
                <w:webHidden/>
                <w:sz w:val="28"/>
                <w:szCs w:val="28"/>
              </w:rPr>
              <w:tab/>
            </w:r>
            <w:r w:rsidR="00266793" w:rsidRPr="00266793">
              <w:rPr>
                <w:noProof/>
                <w:webHidden/>
                <w:sz w:val="28"/>
                <w:szCs w:val="28"/>
              </w:rPr>
              <w:fldChar w:fldCharType="begin"/>
            </w:r>
            <w:r w:rsidR="00266793" w:rsidRPr="00266793">
              <w:rPr>
                <w:noProof/>
                <w:webHidden/>
                <w:sz w:val="28"/>
                <w:szCs w:val="28"/>
              </w:rPr>
              <w:instrText xml:space="preserve"> PAGEREF _Toc136984246 \h </w:instrText>
            </w:r>
            <w:r w:rsidR="00266793" w:rsidRPr="00266793">
              <w:rPr>
                <w:noProof/>
                <w:webHidden/>
                <w:sz w:val="28"/>
                <w:szCs w:val="28"/>
              </w:rPr>
            </w:r>
            <w:r w:rsidR="00266793" w:rsidRPr="00266793">
              <w:rPr>
                <w:noProof/>
                <w:webHidden/>
                <w:sz w:val="28"/>
                <w:szCs w:val="28"/>
              </w:rPr>
              <w:fldChar w:fldCharType="separate"/>
            </w:r>
            <w:r w:rsidR="00266793" w:rsidRPr="00266793">
              <w:rPr>
                <w:noProof/>
                <w:webHidden/>
                <w:sz w:val="28"/>
                <w:szCs w:val="28"/>
              </w:rPr>
              <w:t>13</w:t>
            </w:r>
            <w:r w:rsidR="00266793" w:rsidRPr="00266793">
              <w:rPr>
                <w:noProof/>
                <w:webHidden/>
                <w:sz w:val="28"/>
                <w:szCs w:val="28"/>
              </w:rPr>
              <w:fldChar w:fldCharType="end"/>
            </w:r>
          </w:hyperlink>
        </w:p>
        <w:p w14:paraId="268DC19F" w14:textId="45B3EED7" w:rsidR="00266793" w:rsidRPr="00266793" w:rsidRDefault="00266793" w:rsidP="00266793">
          <w:pPr>
            <w:spacing w:line="480" w:lineRule="exact"/>
            <w:jc w:val="center"/>
            <w:rPr>
              <w:sz w:val="28"/>
              <w:szCs w:val="28"/>
            </w:rPr>
          </w:pPr>
          <w:r w:rsidRPr="00266793">
            <w:rPr>
              <w:sz w:val="28"/>
              <w:szCs w:val="28"/>
            </w:rPr>
            <w:fldChar w:fldCharType="end"/>
          </w:r>
        </w:p>
      </w:sdtContent>
    </w:sdt>
    <w:p w14:paraId="427CB27A" w14:textId="77777777" w:rsidR="00266793" w:rsidRDefault="00266793" w:rsidP="00106AFB">
      <w:pPr>
        <w:jc w:val="center"/>
        <w:rPr>
          <w:rFonts w:ascii="Times New Roman" w:eastAsia="黑体" w:hAnsi="Times New Roman" w:cs="Times New Roman"/>
          <w:sz w:val="32"/>
          <w:szCs w:val="32"/>
        </w:rPr>
      </w:pPr>
    </w:p>
    <w:p w14:paraId="7D6CF5EF" w14:textId="77777777" w:rsidR="00266793" w:rsidRPr="00DD4FBD" w:rsidRDefault="00266793" w:rsidP="00106AFB">
      <w:pPr>
        <w:jc w:val="center"/>
        <w:rPr>
          <w:rFonts w:ascii="Times New Roman" w:eastAsia="黑体" w:hAnsi="Times New Roman" w:cs="Times New Roman"/>
          <w:sz w:val="32"/>
          <w:szCs w:val="32"/>
        </w:rPr>
      </w:pPr>
    </w:p>
    <w:p w14:paraId="07A0C055" w14:textId="12E70D5B" w:rsidR="00106AFB" w:rsidRPr="00DD4FBD" w:rsidRDefault="00266793" w:rsidP="0050694E">
      <w:pPr>
        <w:pStyle w:val="a5"/>
        <w:ind w:left="1123" w:firstLineChars="800" w:firstLine="2560"/>
        <w:outlineLvl w:val="0"/>
        <w:rPr>
          <w:rFonts w:ascii="Times New Roman" w:eastAsia="黑体" w:hAnsi="Times New Roman" w:cs="Times New Roman"/>
          <w:sz w:val="32"/>
          <w:szCs w:val="32"/>
        </w:rPr>
      </w:pPr>
      <w:bookmarkStart w:id="2" w:name="_Toc136984229"/>
      <w:r>
        <w:rPr>
          <w:rFonts w:ascii="Times New Roman" w:eastAsia="黑体" w:hAnsi="Times New Roman" w:cs="Times New Roman" w:hint="eastAsia"/>
          <w:sz w:val="32"/>
          <w:szCs w:val="32"/>
        </w:rPr>
        <w:t>前</w:t>
      </w:r>
      <w:r>
        <w:rPr>
          <w:rFonts w:ascii="Times New Roman" w:eastAsia="黑体" w:hAnsi="Times New Roman" w:cs="Times New Roman" w:hint="eastAsia"/>
          <w:sz w:val="32"/>
          <w:szCs w:val="32"/>
        </w:rPr>
        <w:t xml:space="preserve"> </w:t>
      </w:r>
      <w:r>
        <w:rPr>
          <w:rFonts w:ascii="Times New Roman" w:eastAsia="黑体" w:hAnsi="Times New Roman" w:cs="Times New Roman" w:hint="eastAsia"/>
          <w:sz w:val="32"/>
          <w:szCs w:val="32"/>
        </w:rPr>
        <w:t>言</w:t>
      </w:r>
      <w:bookmarkEnd w:id="2"/>
    </w:p>
    <w:p w14:paraId="42804B2E" w14:textId="35BD2B31" w:rsidR="00106AFB" w:rsidRPr="00CC5949" w:rsidRDefault="00106AFB" w:rsidP="0050694E">
      <w:pPr>
        <w:ind w:firstLineChars="200" w:firstLine="640"/>
        <w:rPr>
          <w:rFonts w:ascii="仿宋_GB2312" w:eastAsia="仿宋_GB2312" w:hAnsi="Times New Roman" w:cs="Times New Roman"/>
          <w:sz w:val="32"/>
          <w:szCs w:val="32"/>
        </w:rPr>
      </w:pPr>
      <w:r w:rsidRPr="000A30D8">
        <w:rPr>
          <w:rFonts w:ascii="仿宋_GB2312" w:eastAsia="仿宋_GB2312" w:hAnsi="Times New Roman" w:cs="Times New Roman"/>
          <w:sz w:val="32"/>
          <w:szCs w:val="32"/>
        </w:rPr>
        <w:t>为</w:t>
      </w:r>
      <w:r w:rsidRPr="00CC5949">
        <w:rPr>
          <w:rFonts w:ascii="仿宋_GB2312" w:eastAsia="仿宋_GB2312" w:hAnsi="Times New Roman" w:cs="Times New Roman" w:hint="eastAsia"/>
          <w:sz w:val="32"/>
          <w:szCs w:val="32"/>
        </w:rPr>
        <w:t>贯彻落实</w:t>
      </w:r>
      <w:r w:rsidR="0050694E" w:rsidRPr="00CC5949">
        <w:rPr>
          <w:rFonts w:ascii="仿宋_GB2312" w:eastAsia="仿宋_GB2312" w:hAnsi="Times New Roman" w:cs="Times New Roman" w:hint="eastAsia"/>
          <w:sz w:val="32"/>
          <w:szCs w:val="32"/>
        </w:rPr>
        <w:t>《中华人民共和国环境保护法》《中华人民共和国土壤污染防治法》《中华人民共和国水污染防治法》等法律法规，防治有色冶炼场地环境污染，改善区域生态环境质量，完善环保技术工作体系，</w:t>
      </w:r>
      <w:bookmarkStart w:id="3" w:name="_Hlk135509138"/>
      <w:r w:rsidR="0050694E" w:rsidRPr="00CC5949">
        <w:rPr>
          <w:rFonts w:ascii="仿宋_GB2312" w:eastAsia="仿宋_GB2312" w:hAnsi="Times New Roman" w:cs="Times New Roman" w:hint="eastAsia"/>
          <w:sz w:val="32"/>
          <w:szCs w:val="32"/>
        </w:rPr>
        <w:t>规范</w:t>
      </w:r>
      <w:r w:rsidR="00290CE6">
        <w:rPr>
          <w:rFonts w:ascii="仿宋_GB2312" w:eastAsia="仿宋_GB2312" w:hAnsi="Times New Roman" w:cs="Times New Roman" w:hint="eastAsia"/>
          <w:sz w:val="32"/>
          <w:szCs w:val="32"/>
        </w:rPr>
        <w:t>有色金属冶炼场地土壤-地下水</w:t>
      </w:r>
      <w:r w:rsidR="0050694E" w:rsidRPr="00CC5949">
        <w:rPr>
          <w:rFonts w:ascii="仿宋_GB2312" w:eastAsia="仿宋_GB2312" w:hAnsi="Times New Roman" w:cs="Times New Roman" w:hint="eastAsia"/>
          <w:sz w:val="32"/>
          <w:szCs w:val="32"/>
        </w:rPr>
        <w:t>重金属污染协同修复工程实施与运行管理</w:t>
      </w:r>
      <w:bookmarkEnd w:id="3"/>
      <w:r w:rsidR="0050694E" w:rsidRPr="00CC5949">
        <w:rPr>
          <w:rFonts w:ascii="仿宋_GB2312" w:eastAsia="仿宋_GB2312" w:hAnsi="Times New Roman" w:cs="Times New Roman" w:hint="eastAsia"/>
          <w:sz w:val="32"/>
          <w:szCs w:val="32"/>
        </w:rPr>
        <w:t>，制定本指南。</w:t>
      </w:r>
    </w:p>
    <w:p w14:paraId="74EF68D2" w14:textId="5E046C66" w:rsidR="0050694E" w:rsidRPr="00CC5949" w:rsidRDefault="0050694E" w:rsidP="0050694E">
      <w:pPr>
        <w:ind w:firstLineChars="200" w:firstLine="640"/>
        <w:rPr>
          <w:rFonts w:ascii="仿宋_GB2312" w:eastAsia="仿宋_GB2312" w:hAnsi="Times New Roman" w:cs="Times New Roman"/>
          <w:sz w:val="32"/>
          <w:szCs w:val="32"/>
        </w:rPr>
      </w:pPr>
      <w:r w:rsidRPr="00CC5949">
        <w:rPr>
          <w:rFonts w:ascii="仿宋_GB2312" w:eastAsia="仿宋_GB2312" w:hAnsi="Times New Roman" w:cs="Times New Roman" w:hint="eastAsia"/>
          <w:sz w:val="32"/>
          <w:szCs w:val="32"/>
        </w:rPr>
        <w:t>本指南以当前技术发展和应用状况为依据，可作为</w:t>
      </w:r>
      <w:r w:rsidR="00290CE6">
        <w:rPr>
          <w:rFonts w:ascii="仿宋_GB2312" w:eastAsia="仿宋_GB2312" w:hAnsi="Times New Roman" w:cs="Times New Roman" w:hint="eastAsia"/>
          <w:sz w:val="32"/>
          <w:szCs w:val="32"/>
        </w:rPr>
        <w:t>有色金属冶炼场地土壤-地下水</w:t>
      </w:r>
      <w:r w:rsidRPr="00CC5949">
        <w:rPr>
          <w:rFonts w:ascii="仿宋_GB2312" w:eastAsia="仿宋_GB2312" w:hAnsi="Times New Roman" w:cs="Times New Roman" w:hint="eastAsia"/>
          <w:sz w:val="32"/>
          <w:szCs w:val="32"/>
        </w:rPr>
        <w:t>重金属污染</w:t>
      </w:r>
      <w:r w:rsidR="00070710">
        <w:rPr>
          <w:rFonts w:ascii="仿宋_GB2312" w:eastAsia="仿宋_GB2312" w:hAnsi="Times New Roman" w:cs="Times New Roman" w:hint="eastAsia"/>
          <w:sz w:val="32"/>
          <w:szCs w:val="32"/>
        </w:rPr>
        <w:t>防控与</w:t>
      </w:r>
      <w:r w:rsidRPr="00CC5949">
        <w:rPr>
          <w:rFonts w:ascii="仿宋_GB2312" w:eastAsia="仿宋_GB2312" w:hAnsi="Times New Roman" w:cs="Times New Roman" w:hint="eastAsia"/>
          <w:sz w:val="32"/>
          <w:szCs w:val="32"/>
        </w:rPr>
        <w:t>协同修复工程实施应用的参考技术资料。</w:t>
      </w:r>
    </w:p>
    <w:p w14:paraId="63983EC8" w14:textId="1948A98E" w:rsidR="0050694E" w:rsidRPr="00CC5949" w:rsidRDefault="0050694E" w:rsidP="0050694E">
      <w:pPr>
        <w:ind w:firstLineChars="200" w:firstLine="640"/>
        <w:rPr>
          <w:rFonts w:ascii="仿宋_GB2312" w:eastAsia="仿宋_GB2312" w:hAnsi="Times New Roman" w:cs="Times New Roman"/>
          <w:sz w:val="32"/>
          <w:szCs w:val="32"/>
        </w:rPr>
      </w:pPr>
      <w:r w:rsidRPr="00CC5949">
        <w:rPr>
          <w:rFonts w:ascii="仿宋_GB2312" w:eastAsia="仿宋_GB2312" w:hAnsi="Times New Roman" w:cs="Times New Roman" w:hint="eastAsia"/>
          <w:sz w:val="32"/>
          <w:szCs w:val="32"/>
        </w:rPr>
        <w:t>本指南由中南大学提出并组织制定。</w:t>
      </w:r>
    </w:p>
    <w:p w14:paraId="139D7A24" w14:textId="28D439B0" w:rsidR="0050694E" w:rsidRPr="00CC5949" w:rsidRDefault="0050694E" w:rsidP="0050694E">
      <w:pPr>
        <w:ind w:firstLineChars="200" w:firstLine="640"/>
        <w:rPr>
          <w:rFonts w:ascii="仿宋_GB2312" w:eastAsia="仿宋_GB2312" w:hAnsi="Times New Roman" w:cs="Times New Roman"/>
          <w:sz w:val="32"/>
          <w:szCs w:val="32"/>
        </w:rPr>
      </w:pPr>
      <w:r w:rsidRPr="00CC5949">
        <w:rPr>
          <w:rFonts w:ascii="仿宋_GB2312" w:eastAsia="仿宋_GB2312" w:hAnsi="Times New Roman" w:cs="Times New Roman" w:hint="eastAsia"/>
          <w:sz w:val="32"/>
          <w:szCs w:val="32"/>
        </w:rPr>
        <w:t>本指南起草单位：中南大学，</w:t>
      </w:r>
      <w:r w:rsidR="00BA1C92" w:rsidRPr="00CC5949">
        <w:rPr>
          <w:rFonts w:ascii="仿宋_GB2312" w:eastAsia="仿宋_GB2312" w:hAnsi="Times New Roman" w:cs="Times New Roman" w:hint="eastAsia"/>
          <w:sz w:val="32"/>
          <w:szCs w:val="32"/>
        </w:rPr>
        <w:t>河南省地质研究院，河南省生态环境研究院，中国科学院南京土壤研究所、中国科学院亚热带生态研究所，中国地质大学（武汉），</w:t>
      </w:r>
      <w:proofErr w:type="gramStart"/>
      <w:r w:rsidR="00BA1C92" w:rsidRPr="00CC5949">
        <w:rPr>
          <w:rFonts w:ascii="仿宋_GB2312" w:eastAsia="仿宋_GB2312" w:hAnsi="Times New Roman" w:cs="Times New Roman" w:hint="eastAsia"/>
          <w:sz w:val="32"/>
          <w:szCs w:val="32"/>
        </w:rPr>
        <w:t>中冶南方</w:t>
      </w:r>
      <w:proofErr w:type="gramEnd"/>
      <w:r w:rsidR="00BA1C92" w:rsidRPr="00CC5949">
        <w:rPr>
          <w:rFonts w:ascii="仿宋_GB2312" w:eastAsia="仿宋_GB2312" w:hAnsi="Times New Roman" w:cs="Times New Roman" w:hint="eastAsia"/>
          <w:sz w:val="32"/>
          <w:szCs w:val="32"/>
        </w:rPr>
        <w:t>都市环保工程技术股份有限公司，</w:t>
      </w:r>
      <w:r w:rsidR="00DD4FBD" w:rsidRPr="00CC5949">
        <w:rPr>
          <w:rFonts w:ascii="仿宋_GB2312" w:eastAsia="仿宋_GB2312" w:hAnsi="Times New Roman" w:cs="Times New Roman" w:hint="eastAsia"/>
          <w:sz w:val="32"/>
          <w:szCs w:val="32"/>
        </w:rPr>
        <w:t>湖南省和清环境科技有限公司。</w:t>
      </w:r>
    </w:p>
    <w:p w14:paraId="70B5D021" w14:textId="09FE6EDD" w:rsidR="00DD4FBD" w:rsidRPr="00DD4FBD" w:rsidRDefault="00DD4FBD" w:rsidP="0050694E">
      <w:pPr>
        <w:ind w:firstLineChars="200" w:firstLine="640"/>
        <w:rPr>
          <w:rFonts w:ascii="Times New Roman" w:eastAsia="仿宋_GB2312" w:hAnsi="Times New Roman" w:cs="Times New Roman"/>
          <w:sz w:val="32"/>
          <w:szCs w:val="32"/>
        </w:rPr>
      </w:pPr>
    </w:p>
    <w:p w14:paraId="00EFC4EB" w14:textId="09621A6E" w:rsidR="00DD4FBD" w:rsidRPr="00DD4FBD" w:rsidRDefault="00DD4FBD" w:rsidP="0050694E">
      <w:pPr>
        <w:ind w:firstLineChars="200" w:firstLine="640"/>
        <w:rPr>
          <w:rFonts w:ascii="Times New Roman" w:eastAsia="仿宋_GB2312" w:hAnsi="Times New Roman" w:cs="Times New Roman"/>
          <w:sz w:val="32"/>
          <w:szCs w:val="32"/>
        </w:rPr>
      </w:pPr>
    </w:p>
    <w:p w14:paraId="139CA423" w14:textId="7B519E34" w:rsidR="00DD4FBD" w:rsidRPr="00DD4FBD" w:rsidRDefault="00DD4FBD" w:rsidP="0050694E">
      <w:pPr>
        <w:ind w:firstLineChars="200" w:firstLine="640"/>
        <w:rPr>
          <w:rFonts w:ascii="Times New Roman" w:eastAsia="仿宋_GB2312" w:hAnsi="Times New Roman" w:cs="Times New Roman"/>
          <w:sz w:val="32"/>
          <w:szCs w:val="32"/>
        </w:rPr>
      </w:pPr>
    </w:p>
    <w:p w14:paraId="052F1E07" w14:textId="7B9FA86A" w:rsidR="00DD4FBD" w:rsidRPr="00DD4FBD" w:rsidRDefault="00DD4FBD" w:rsidP="0050694E">
      <w:pPr>
        <w:ind w:firstLineChars="200" w:firstLine="640"/>
        <w:rPr>
          <w:rFonts w:ascii="Times New Roman" w:eastAsia="仿宋_GB2312" w:hAnsi="Times New Roman" w:cs="Times New Roman"/>
          <w:sz w:val="32"/>
          <w:szCs w:val="32"/>
        </w:rPr>
      </w:pPr>
    </w:p>
    <w:p w14:paraId="370CDB5A" w14:textId="19334596" w:rsidR="00DD4FBD" w:rsidRDefault="00DD4FBD" w:rsidP="0050694E">
      <w:pPr>
        <w:ind w:firstLineChars="200" w:firstLine="640"/>
        <w:rPr>
          <w:rFonts w:ascii="Times New Roman" w:eastAsia="仿宋_GB2312" w:hAnsi="Times New Roman" w:cs="Times New Roman"/>
          <w:sz w:val="32"/>
          <w:szCs w:val="32"/>
        </w:rPr>
      </w:pPr>
    </w:p>
    <w:p w14:paraId="5F013C7E" w14:textId="4D7AA608" w:rsidR="005F22AA" w:rsidRDefault="005F22AA" w:rsidP="0050694E">
      <w:pPr>
        <w:ind w:firstLineChars="200" w:firstLine="640"/>
        <w:rPr>
          <w:rFonts w:ascii="Times New Roman" w:eastAsia="仿宋_GB2312" w:hAnsi="Times New Roman" w:cs="Times New Roman"/>
          <w:sz w:val="32"/>
          <w:szCs w:val="32"/>
        </w:rPr>
      </w:pPr>
    </w:p>
    <w:p w14:paraId="75406F33" w14:textId="52B9C9E3" w:rsidR="005F22AA" w:rsidRDefault="005F22AA" w:rsidP="0050694E">
      <w:pPr>
        <w:ind w:firstLineChars="200" w:firstLine="640"/>
        <w:rPr>
          <w:rFonts w:ascii="Times New Roman" w:eastAsia="仿宋_GB2312" w:hAnsi="Times New Roman" w:cs="Times New Roman"/>
          <w:sz w:val="32"/>
          <w:szCs w:val="32"/>
        </w:rPr>
      </w:pPr>
    </w:p>
    <w:p w14:paraId="3C82DE36" w14:textId="77777777" w:rsidR="005770D4" w:rsidRPr="00DD4FBD" w:rsidRDefault="005770D4" w:rsidP="0050694E">
      <w:pPr>
        <w:ind w:firstLineChars="200" w:firstLine="640"/>
        <w:rPr>
          <w:rFonts w:ascii="Times New Roman" w:eastAsia="仿宋_GB2312" w:hAnsi="Times New Roman" w:cs="Times New Roman"/>
          <w:sz w:val="32"/>
          <w:szCs w:val="32"/>
        </w:rPr>
      </w:pPr>
    </w:p>
    <w:p w14:paraId="1FEA37DB" w14:textId="77777777" w:rsidR="002C6FA6" w:rsidRDefault="002C6FA6" w:rsidP="002C6FA6">
      <w:pPr>
        <w:pStyle w:val="aa"/>
        <w:adjustRightInd w:val="0"/>
        <w:snapToGrid w:val="0"/>
        <w:spacing w:beforeLines="100" w:before="312" w:afterLines="50" w:after="156" w:line="360" w:lineRule="auto"/>
        <w:jc w:val="left"/>
        <w:rPr>
          <w:rFonts w:ascii="Times New Roman" w:eastAsia="黑体" w:hAnsi="Times New Roman" w:cs="Times New Roman"/>
        </w:rPr>
      </w:pPr>
      <w:bookmarkStart w:id="4" w:name="_Toc16634"/>
      <w:bookmarkStart w:id="5" w:name="_Toc32108"/>
      <w:bookmarkStart w:id="6" w:name="_Toc12659"/>
      <w:bookmarkStart w:id="7" w:name="_Toc25171"/>
      <w:bookmarkStart w:id="8" w:name="_Toc136984230"/>
      <w:r>
        <w:rPr>
          <w:rFonts w:ascii="Times New Roman" w:eastAsia="黑体" w:hAnsi="Times New Roman" w:cs="Times New Roman"/>
        </w:rPr>
        <w:t>第一章</w:t>
      </w:r>
      <w:r>
        <w:rPr>
          <w:rFonts w:ascii="Times New Roman" w:eastAsia="黑体" w:hAnsi="Times New Roman" w:cs="Times New Roman"/>
        </w:rPr>
        <w:t xml:space="preserve"> </w:t>
      </w:r>
      <w:r>
        <w:rPr>
          <w:rFonts w:ascii="Times New Roman" w:eastAsia="黑体" w:hAnsi="Times New Roman" w:cs="Times New Roman"/>
        </w:rPr>
        <w:t>工作简况</w:t>
      </w:r>
      <w:bookmarkEnd w:id="4"/>
      <w:bookmarkEnd w:id="5"/>
      <w:bookmarkEnd w:id="6"/>
      <w:bookmarkEnd w:id="7"/>
      <w:bookmarkEnd w:id="8"/>
    </w:p>
    <w:p w14:paraId="311FB7A0" w14:textId="10E8E309" w:rsidR="00DD4FBD" w:rsidRDefault="00DD4FBD" w:rsidP="000B5A06">
      <w:pPr>
        <w:spacing w:beforeLines="50" w:before="156" w:afterLines="50" w:after="156" w:line="480" w:lineRule="exact"/>
        <w:outlineLvl w:val="1"/>
        <w:rPr>
          <w:rFonts w:ascii="楷体" w:eastAsia="楷体" w:hAnsi="楷体" w:cs="Times New Roman"/>
          <w:b/>
          <w:bCs/>
          <w:sz w:val="32"/>
          <w:szCs w:val="32"/>
        </w:rPr>
      </w:pPr>
      <w:bookmarkStart w:id="9" w:name="_Toc136984231"/>
      <w:r w:rsidRPr="00CC5949">
        <w:rPr>
          <w:rFonts w:ascii="Times New Roman" w:eastAsia="楷体" w:hAnsi="Times New Roman" w:cs="Times New Roman"/>
          <w:b/>
          <w:bCs/>
          <w:sz w:val="32"/>
          <w:szCs w:val="32"/>
        </w:rPr>
        <w:t>1.</w:t>
      </w:r>
      <w:r w:rsidR="002C6FA6">
        <w:rPr>
          <w:rFonts w:ascii="楷体" w:eastAsia="楷体" w:hAnsi="楷体" w:cs="Times New Roman" w:hint="eastAsia"/>
          <w:b/>
          <w:bCs/>
          <w:sz w:val="32"/>
          <w:szCs w:val="32"/>
        </w:rPr>
        <w:t>任务来源</w:t>
      </w:r>
      <w:bookmarkEnd w:id="9"/>
    </w:p>
    <w:p w14:paraId="54890904" w14:textId="4BE75A82" w:rsidR="005F22AA" w:rsidRDefault="005F22AA" w:rsidP="005414F8">
      <w:pPr>
        <w:spacing w:line="480" w:lineRule="exact"/>
        <w:ind w:firstLineChars="200" w:firstLine="640"/>
        <w:rPr>
          <w:rFonts w:ascii="仿宋_GB2312" w:eastAsia="仿宋_GB2312" w:hAnsi="Times New Roman" w:cs="Times New Roman"/>
          <w:sz w:val="32"/>
          <w:szCs w:val="32"/>
        </w:rPr>
      </w:pPr>
      <w:r w:rsidRPr="005F22AA">
        <w:rPr>
          <w:rFonts w:ascii="仿宋_GB2312" w:eastAsia="仿宋_GB2312" w:hAnsi="Times New Roman" w:cs="Times New Roman" w:hint="eastAsia"/>
          <w:sz w:val="32"/>
          <w:szCs w:val="32"/>
        </w:rPr>
        <w:t>《</w:t>
      </w:r>
      <w:r w:rsidR="00290CE6">
        <w:rPr>
          <w:rFonts w:ascii="仿宋_GB2312" w:eastAsia="仿宋_GB2312" w:hAnsi="Times New Roman" w:cs="Times New Roman" w:hint="eastAsia"/>
          <w:sz w:val="32"/>
          <w:szCs w:val="32"/>
        </w:rPr>
        <w:t>有色金属冶炼场地土壤-地下水</w:t>
      </w:r>
      <w:bookmarkStart w:id="10" w:name="_Hlk135508684"/>
      <w:r w:rsidRPr="005F22AA">
        <w:rPr>
          <w:rFonts w:ascii="仿宋_GB2312" w:eastAsia="仿宋_GB2312" w:hAnsi="Times New Roman" w:cs="Times New Roman"/>
          <w:sz w:val="32"/>
          <w:szCs w:val="32"/>
        </w:rPr>
        <w:t>重金属污染</w:t>
      </w:r>
      <w:bookmarkEnd w:id="10"/>
      <w:r w:rsidRPr="005F22AA">
        <w:rPr>
          <w:rFonts w:ascii="仿宋_GB2312" w:eastAsia="仿宋_GB2312" w:hAnsi="Times New Roman" w:cs="Times New Roman"/>
          <w:sz w:val="32"/>
          <w:szCs w:val="32"/>
        </w:rPr>
        <w:t>协同修复技术指南》</w:t>
      </w:r>
      <w:r>
        <w:rPr>
          <w:rFonts w:ascii="仿宋_GB2312" w:eastAsia="仿宋_GB2312" w:hAnsi="Times New Roman" w:cs="Times New Roman" w:hint="eastAsia"/>
          <w:sz w:val="32"/>
          <w:szCs w:val="32"/>
        </w:rPr>
        <w:t>（以下简称</w:t>
      </w:r>
      <w:r w:rsidR="00120F9E">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协同修复技术指南</w:t>
      </w:r>
      <w:r w:rsidR="00120F9E">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w:t>
      </w:r>
      <w:r w:rsidRPr="005F22AA">
        <w:rPr>
          <w:rFonts w:ascii="仿宋_GB2312" w:eastAsia="仿宋_GB2312" w:hAnsi="Times New Roman" w:cs="Times New Roman"/>
          <w:sz w:val="32"/>
          <w:szCs w:val="32"/>
        </w:rPr>
        <w:t>标准拟定任务主要来源有：</w:t>
      </w:r>
    </w:p>
    <w:p w14:paraId="0F62DA39" w14:textId="4333FDA0" w:rsidR="005F22AA" w:rsidRDefault="005F22AA" w:rsidP="005F22AA">
      <w:pPr>
        <w:spacing w:line="48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一是</w:t>
      </w:r>
      <w:r w:rsidRPr="005F22AA">
        <w:rPr>
          <w:rFonts w:ascii="仿宋_GB2312" w:eastAsia="仿宋_GB2312" w:hAnsi="Times New Roman" w:cs="Times New Roman" w:hint="eastAsia"/>
          <w:sz w:val="32"/>
          <w:szCs w:val="32"/>
        </w:rPr>
        <w:t>为贯彻落实相关法律法规对</w:t>
      </w:r>
      <w:r w:rsidR="00290CE6">
        <w:rPr>
          <w:rFonts w:ascii="仿宋_GB2312" w:eastAsia="仿宋_GB2312" w:hAnsi="Times New Roman" w:cs="Times New Roman" w:hint="eastAsia"/>
          <w:sz w:val="32"/>
          <w:szCs w:val="32"/>
        </w:rPr>
        <w:t>有色金属冶炼场地土壤-地下水</w:t>
      </w:r>
      <w:r w:rsidRPr="005F22AA">
        <w:rPr>
          <w:rFonts w:ascii="仿宋_GB2312" w:eastAsia="仿宋_GB2312" w:hAnsi="Times New Roman" w:cs="Times New Roman"/>
          <w:sz w:val="32"/>
          <w:szCs w:val="32"/>
        </w:rPr>
        <w:t>重金属污染</w:t>
      </w:r>
      <w:r>
        <w:rPr>
          <w:rFonts w:ascii="仿宋_GB2312" w:eastAsia="仿宋_GB2312" w:hAnsi="Times New Roman" w:cs="Times New Roman" w:hint="eastAsia"/>
          <w:sz w:val="32"/>
          <w:szCs w:val="32"/>
        </w:rPr>
        <w:t>防控的总体要求</w:t>
      </w:r>
      <w:r w:rsidRPr="005F22AA">
        <w:rPr>
          <w:rFonts w:ascii="仿宋_GB2312" w:eastAsia="仿宋_GB2312" w:hAnsi="Times New Roman" w:cs="Times New Roman" w:hint="eastAsia"/>
          <w:sz w:val="32"/>
          <w:szCs w:val="32"/>
        </w:rPr>
        <w:t>。《土壤污染防治行动计划》</w:t>
      </w:r>
      <w:r>
        <w:rPr>
          <w:rFonts w:ascii="仿宋_GB2312" w:eastAsia="仿宋_GB2312" w:hAnsi="Times New Roman" w:cs="Times New Roman" w:hint="eastAsia"/>
          <w:sz w:val="32"/>
          <w:szCs w:val="32"/>
        </w:rPr>
        <w:t>规定：“要</w:t>
      </w:r>
      <w:r w:rsidRPr="005F22AA">
        <w:rPr>
          <w:rFonts w:ascii="仿宋_GB2312" w:eastAsia="仿宋_GB2312" w:hAnsi="Times New Roman" w:cs="Times New Roman" w:hint="eastAsia"/>
          <w:sz w:val="32"/>
          <w:szCs w:val="32"/>
        </w:rPr>
        <w:t>严控工矿污染</w:t>
      </w:r>
      <w:r>
        <w:rPr>
          <w:rFonts w:ascii="仿宋_GB2312" w:eastAsia="仿宋_GB2312" w:hAnsi="Times New Roman" w:cs="Times New Roman" w:hint="eastAsia"/>
          <w:sz w:val="32"/>
          <w:szCs w:val="32"/>
        </w:rPr>
        <w:t>，对</w:t>
      </w:r>
      <w:r w:rsidRPr="005F22AA">
        <w:rPr>
          <w:rFonts w:ascii="仿宋_GB2312" w:eastAsia="仿宋_GB2312" w:hAnsi="Times New Roman" w:cs="Times New Roman" w:hint="eastAsia"/>
          <w:sz w:val="32"/>
          <w:szCs w:val="32"/>
        </w:rPr>
        <w:t>有色金属冶炼、石油加工、化工、焦化、电镀、制革等行业企业拆除生产设施设备、构筑物和污染治理设施，要事先制定残留污染物清理和安全处置方案</w:t>
      </w:r>
      <w:r>
        <w:rPr>
          <w:rFonts w:ascii="仿宋_GB2312" w:eastAsia="仿宋_GB2312" w:hAnsi="Times New Roman" w:cs="Times New Roman" w:hint="eastAsia"/>
          <w:sz w:val="32"/>
          <w:szCs w:val="32"/>
        </w:rPr>
        <w:t>。”“</w:t>
      </w:r>
      <w:r w:rsidRPr="005F22AA">
        <w:rPr>
          <w:rFonts w:ascii="仿宋_GB2312" w:eastAsia="仿宋_GB2312" w:hAnsi="Times New Roman" w:cs="Times New Roman" w:hint="eastAsia"/>
          <w:sz w:val="32"/>
          <w:szCs w:val="32"/>
        </w:rPr>
        <w:t>确定治理与修复重点。各地要结合城市环境质量提升和发展布局调整，以拟开发建设居住、商业、学校、医疗和养老机构等项目的污染地块为重点，开展治理与修复。</w:t>
      </w:r>
      <w:r>
        <w:rPr>
          <w:rFonts w:ascii="仿宋_GB2312" w:eastAsia="仿宋_GB2312" w:hAnsi="Times New Roman" w:cs="Times New Roman" w:hint="eastAsia"/>
          <w:sz w:val="32"/>
          <w:szCs w:val="32"/>
        </w:rPr>
        <w:t>”</w:t>
      </w:r>
      <w:r w:rsidR="00120F9E" w:rsidRPr="00120F9E">
        <w:rPr>
          <w:rFonts w:ascii="仿宋_GB2312" w:eastAsia="仿宋_GB2312" w:hAnsi="Times New Roman" w:cs="Times New Roman" w:hint="eastAsia"/>
          <w:sz w:val="32"/>
          <w:szCs w:val="32"/>
        </w:rPr>
        <w:t xml:space="preserve"> </w:t>
      </w:r>
      <w:r w:rsidR="00120F9E">
        <w:rPr>
          <w:rFonts w:ascii="仿宋_GB2312" w:eastAsia="仿宋_GB2312" w:hAnsi="Times New Roman" w:cs="Times New Roman" w:hint="eastAsia"/>
          <w:sz w:val="32"/>
          <w:szCs w:val="32"/>
        </w:rPr>
        <w:t>《协同修复技术指南》是</w:t>
      </w:r>
      <w:r w:rsidR="00120F9E" w:rsidRPr="00120F9E">
        <w:rPr>
          <w:rFonts w:ascii="仿宋_GB2312" w:eastAsia="仿宋_GB2312" w:hAnsi="Times New Roman" w:cs="Times New Roman" w:hint="eastAsia"/>
          <w:sz w:val="32"/>
          <w:szCs w:val="32"/>
        </w:rPr>
        <w:t>规范</w:t>
      </w:r>
      <w:r w:rsidR="00290CE6">
        <w:rPr>
          <w:rFonts w:ascii="仿宋_GB2312" w:eastAsia="仿宋_GB2312" w:hAnsi="Times New Roman" w:cs="Times New Roman" w:hint="eastAsia"/>
          <w:sz w:val="32"/>
          <w:szCs w:val="32"/>
        </w:rPr>
        <w:t>有色金属冶炼场地土壤-地下水</w:t>
      </w:r>
      <w:r w:rsidR="00120F9E" w:rsidRPr="00120F9E">
        <w:rPr>
          <w:rFonts w:ascii="仿宋_GB2312" w:eastAsia="仿宋_GB2312" w:hAnsi="Times New Roman" w:cs="Times New Roman"/>
          <w:sz w:val="32"/>
          <w:szCs w:val="32"/>
        </w:rPr>
        <w:t>重金属污染协同修复工程实施与运行管理</w:t>
      </w:r>
      <w:r w:rsidRPr="005F22AA">
        <w:rPr>
          <w:rFonts w:ascii="仿宋_GB2312" w:eastAsia="仿宋_GB2312" w:hAnsi="Times New Roman" w:cs="Times New Roman" w:hint="eastAsia"/>
          <w:sz w:val="32"/>
          <w:szCs w:val="32"/>
        </w:rPr>
        <w:t>的必然要求，也是推进</w:t>
      </w:r>
      <w:r w:rsidR="00120F9E">
        <w:rPr>
          <w:rFonts w:ascii="仿宋_GB2312" w:eastAsia="仿宋_GB2312" w:hAnsi="Times New Roman" w:cs="Times New Roman" w:hint="eastAsia"/>
          <w:sz w:val="32"/>
          <w:szCs w:val="32"/>
        </w:rPr>
        <w:t>修复工程规范化实施</w:t>
      </w:r>
      <w:r w:rsidRPr="005F22AA">
        <w:rPr>
          <w:rFonts w:ascii="仿宋_GB2312" w:eastAsia="仿宋_GB2312" w:hAnsi="Times New Roman" w:cs="Times New Roman" w:hint="eastAsia"/>
          <w:sz w:val="32"/>
          <w:szCs w:val="32"/>
        </w:rPr>
        <w:t>的重要支撑。</w:t>
      </w:r>
    </w:p>
    <w:p w14:paraId="6462EB77" w14:textId="70F27E92" w:rsidR="000B5A06" w:rsidRDefault="000B5A06" w:rsidP="005F22AA">
      <w:pPr>
        <w:spacing w:line="48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二是</w:t>
      </w:r>
      <w:r w:rsidR="00290CE6">
        <w:rPr>
          <w:rFonts w:ascii="仿宋_GB2312" w:eastAsia="仿宋_GB2312" w:hAnsi="Times New Roman" w:cs="Times New Roman" w:hint="eastAsia"/>
          <w:sz w:val="32"/>
          <w:szCs w:val="32"/>
        </w:rPr>
        <w:t>有色金属冶炼场地土壤-地下水</w:t>
      </w:r>
      <w:r>
        <w:rPr>
          <w:rFonts w:ascii="仿宋_GB2312" w:eastAsia="仿宋_GB2312" w:hAnsi="Times New Roman" w:cs="Times New Roman" w:hint="eastAsia"/>
          <w:sz w:val="32"/>
          <w:szCs w:val="32"/>
        </w:rPr>
        <w:t>重金属污染协同修复治理的迫切需求，</w:t>
      </w:r>
      <w:r w:rsidRPr="000B5A06">
        <w:rPr>
          <w:rFonts w:ascii="仿宋_GB2312" w:eastAsia="仿宋_GB2312" w:hAnsi="Times New Roman" w:cs="Times New Roman" w:hint="eastAsia"/>
          <w:sz w:val="32"/>
          <w:szCs w:val="32"/>
        </w:rPr>
        <w:t>我国</w:t>
      </w:r>
      <w:r w:rsidR="00290CE6">
        <w:rPr>
          <w:rFonts w:ascii="仿宋_GB2312" w:eastAsia="仿宋_GB2312" w:hAnsi="Times New Roman" w:cs="Times New Roman" w:hint="eastAsia"/>
          <w:sz w:val="32"/>
          <w:szCs w:val="32"/>
        </w:rPr>
        <w:t>有色金属冶炼场地土壤-地下水</w:t>
      </w:r>
      <w:r w:rsidRPr="000B5A06">
        <w:rPr>
          <w:rFonts w:ascii="仿宋_GB2312" w:eastAsia="仿宋_GB2312" w:hAnsi="Times New Roman" w:cs="Times New Roman"/>
          <w:sz w:val="32"/>
          <w:szCs w:val="32"/>
        </w:rPr>
        <w:t>重金属污染复杂、污染程度差异大，多金属同步固化/钝化难、稳定特效性差，地下水重金属污染修复技术工程案例少、功能材料难以有效与地下水重金属精准结合去除，冶炼场地生态修复后易退化等问题，现有技术无法满足中南</w:t>
      </w:r>
      <w:r w:rsidR="00290CE6">
        <w:rPr>
          <w:rFonts w:ascii="仿宋_GB2312" w:eastAsia="仿宋_GB2312" w:hAnsi="Times New Roman" w:cs="Times New Roman"/>
          <w:sz w:val="32"/>
          <w:szCs w:val="32"/>
        </w:rPr>
        <w:t>有色金属冶炼场地土壤-地下水</w:t>
      </w:r>
      <w:r w:rsidRPr="000B5A06">
        <w:rPr>
          <w:rFonts w:ascii="仿宋_GB2312" w:eastAsia="仿宋_GB2312" w:hAnsi="Times New Roman" w:cs="Times New Roman"/>
          <w:sz w:val="32"/>
          <w:szCs w:val="32"/>
        </w:rPr>
        <w:t>协同修复。</w:t>
      </w:r>
    </w:p>
    <w:p w14:paraId="4E46AFFB" w14:textId="3C73E63E" w:rsidR="005F22AA" w:rsidRDefault="000B5A06" w:rsidP="005414F8">
      <w:pPr>
        <w:spacing w:line="48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三</w:t>
      </w:r>
      <w:r w:rsidR="00120F9E">
        <w:rPr>
          <w:rFonts w:ascii="仿宋_GB2312" w:eastAsia="仿宋_GB2312" w:hAnsi="Times New Roman" w:cs="Times New Roman" w:hint="eastAsia"/>
          <w:sz w:val="32"/>
          <w:szCs w:val="32"/>
        </w:rPr>
        <w:t>是</w:t>
      </w:r>
      <w:r>
        <w:rPr>
          <w:rFonts w:ascii="仿宋_GB2312" w:eastAsia="仿宋_GB2312" w:hAnsi="Times New Roman" w:cs="Times New Roman" w:hint="eastAsia"/>
          <w:sz w:val="32"/>
          <w:szCs w:val="32"/>
        </w:rPr>
        <w:t>依托国家重点研发计划（中南有色冶炼场地土壤-地下水协同修复技术与工程示范 编号</w:t>
      </w:r>
      <w:r w:rsidRPr="000B5A06">
        <w:rPr>
          <w:rFonts w:ascii="仿宋_GB2312" w:eastAsia="仿宋_GB2312" w:hAnsi="Times New Roman" w:cs="Times New Roman"/>
          <w:sz w:val="32"/>
          <w:szCs w:val="32"/>
        </w:rPr>
        <w:t>2019YFC1803600</w:t>
      </w:r>
      <w:r>
        <w:rPr>
          <w:rFonts w:ascii="仿宋_GB2312" w:eastAsia="仿宋_GB2312" w:hAnsi="Times New Roman" w:cs="Times New Roman" w:hint="eastAsia"/>
          <w:sz w:val="32"/>
          <w:szCs w:val="32"/>
        </w:rPr>
        <w:t>）技术研发成果，</w:t>
      </w:r>
      <w:r w:rsidRPr="000B5A06">
        <w:rPr>
          <w:rFonts w:ascii="仿宋_GB2312" w:eastAsia="仿宋_GB2312" w:hAnsi="Times New Roman" w:cs="Times New Roman" w:hint="eastAsia"/>
          <w:sz w:val="32"/>
          <w:szCs w:val="32"/>
        </w:rPr>
        <w:t>针对目前仍存在的有色冶炼场地土壤污染重大</w:t>
      </w:r>
      <w:r w:rsidRPr="000B5A06">
        <w:rPr>
          <w:rFonts w:ascii="仿宋_GB2312" w:eastAsia="仿宋_GB2312" w:hAnsi="Times New Roman" w:cs="Times New Roman" w:hint="eastAsia"/>
          <w:sz w:val="32"/>
          <w:szCs w:val="32"/>
        </w:rPr>
        <w:lastRenderedPageBreak/>
        <w:t>共性治理关键技术瓶颈及技术装备集成工程应用示范程度</w:t>
      </w:r>
      <w:proofErr w:type="gramStart"/>
      <w:r w:rsidRPr="000B5A06">
        <w:rPr>
          <w:rFonts w:ascii="仿宋_GB2312" w:eastAsia="仿宋_GB2312" w:hAnsi="Times New Roman" w:cs="Times New Roman" w:hint="eastAsia"/>
          <w:sz w:val="32"/>
          <w:szCs w:val="32"/>
        </w:rPr>
        <w:t>不</w:t>
      </w:r>
      <w:proofErr w:type="gramEnd"/>
      <w:r w:rsidRPr="000B5A06">
        <w:rPr>
          <w:rFonts w:ascii="仿宋_GB2312" w:eastAsia="仿宋_GB2312" w:hAnsi="Times New Roman" w:cs="Times New Roman" w:hint="eastAsia"/>
          <w:sz w:val="32"/>
          <w:szCs w:val="32"/>
        </w:rPr>
        <w:t>高等突出问题，形成冶炼场地土壤</w:t>
      </w:r>
      <w:r w:rsidRPr="000B5A06">
        <w:rPr>
          <w:rFonts w:ascii="仿宋_GB2312" w:eastAsia="仿宋_GB2312" w:hAnsi="Times New Roman" w:cs="Times New Roman"/>
          <w:sz w:val="32"/>
          <w:szCs w:val="32"/>
        </w:rPr>
        <w:t>-地下水污染防渗、阻断、截获协同修复技术体系及可复制推广的有色金属冶炼场地土壤-地下水污染协同修复技术方案</w:t>
      </w:r>
      <w:r>
        <w:rPr>
          <w:rFonts w:ascii="仿宋_GB2312" w:eastAsia="仿宋_GB2312" w:hAnsi="Times New Roman" w:cs="Times New Roman" w:hint="eastAsia"/>
          <w:sz w:val="32"/>
          <w:szCs w:val="32"/>
        </w:rPr>
        <w:t>。</w:t>
      </w:r>
    </w:p>
    <w:p w14:paraId="4554A9E5" w14:textId="0104AE47" w:rsidR="000B5A06" w:rsidRDefault="000B5A06" w:rsidP="000B5A06">
      <w:pPr>
        <w:spacing w:line="480" w:lineRule="exact"/>
        <w:ind w:firstLineChars="200" w:firstLine="640"/>
        <w:rPr>
          <w:rFonts w:ascii="仿宋_GB2312" w:eastAsia="仿宋_GB2312" w:hAnsi="Times New Roman" w:cs="Times New Roman"/>
          <w:sz w:val="32"/>
          <w:szCs w:val="32"/>
        </w:rPr>
      </w:pPr>
      <w:r w:rsidRPr="000B5A06">
        <w:rPr>
          <w:rFonts w:ascii="仿宋_GB2312" w:eastAsia="仿宋_GB2312" w:hAnsi="Times New Roman" w:cs="Times New Roman" w:hint="eastAsia"/>
          <w:sz w:val="32"/>
          <w:szCs w:val="32"/>
        </w:rPr>
        <w:t>综上，为进一步支撑</w:t>
      </w:r>
      <w:r>
        <w:rPr>
          <w:rFonts w:ascii="仿宋_GB2312" w:eastAsia="仿宋_GB2312" w:hAnsi="Times New Roman" w:cs="Times New Roman" w:hint="eastAsia"/>
          <w:sz w:val="32"/>
          <w:szCs w:val="32"/>
        </w:rPr>
        <w:t>《协同修复技术指南》</w:t>
      </w:r>
      <w:r w:rsidRPr="000B5A06">
        <w:rPr>
          <w:rFonts w:ascii="仿宋_GB2312" w:eastAsia="仿宋_GB2312" w:hAnsi="Times New Roman" w:cs="Times New Roman" w:hint="eastAsia"/>
          <w:sz w:val="32"/>
          <w:szCs w:val="32"/>
        </w:rPr>
        <w:t>编制实施，在现有技术成果及实践经验基础上，</w:t>
      </w:r>
      <w:r>
        <w:rPr>
          <w:rFonts w:ascii="仿宋_GB2312" w:eastAsia="仿宋_GB2312" w:hAnsi="Times New Roman" w:cs="Times New Roman" w:hint="eastAsia"/>
          <w:sz w:val="32"/>
          <w:szCs w:val="32"/>
        </w:rPr>
        <w:t>中南大学</w:t>
      </w:r>
      <w:r w:rsidRPr="000B5A06">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、、等</w:t>
      </w:r>
      <w:r w:rsidRPr="000B5A06">
        <w:rPr>
          <w:rFonts w:ascii="仿宋_GB2312" w:eastAsia="仿宋_GB2312" w:hAnsi="Times New Roman" w:cs="Times New Roman" w:hint="eastAsia"/>
          <w:sz w:val="32"/>
          <w:szCs w:val="32"/>
        </w:rPr>
        <w:t>组织编制本标准。</w:t>
      </w:r>
    </w:p>
    <w:p w14:paraId="10DD467D" w14:textId="3C0B6183" w:rsidR="001E2502" w:rsidRDefault="001E2502" w:rsidP="001E2502">
      <w:pPr>
        <w:spacing w:beforeLines="50" w:before="156" w:afterLines="50" w:after="156" w:line="480" w:lineRule="exact"/>
        <w:outlineLvl w:val="1"/>
        <w:rPr>
          <w:rFonts w:ascii="Times New Roman" w:eastAsia="楷体" w:hAnsi="Times New Roman" w:cs="Times New Roman"/>
          <w:b/>
          <w:bCs/>
          <w:sz w:val="32"/>
          <w:szCs w:val="32"/>
        </w:rPr>
      </w:pPr>
      <w:bookmarkStart w:id="11" w:name="_Toc136984232"/>
      <w:r w:rsidRPr="001E2502">
        <w:rPr>
          <w:rFonts w:ascii="Times New Roman" w:eastAsia="楷体" w:hAnsi="Times New Roman" w:cs="Times New Roman"/>
          <w:b/>
          <w:bCs/>
          <w:sz w:val="32"/>
          <w:szCs w:val="32"/>
        </w:rPr>
        <w:t>2.</w:t>
      </w:r>
      <w:r w:rsidRPr="001E2502">
        <w:rPr>
          <w:rFonts w:ascii="Times New Roman" w:eastAsia="楷体" w:hAnsi="Times New Roman" w:cs="Times New Roman" w:hint="eastAsia"/>
          <w:b/>
          <w:bCs/>
          <w:sz w:val="32"/>
          <w:szCs w:val="32"/>
        </w:rPr>
        <w:t>标准起草单位和主要起草人</w:t>
      </w:r>
      <w:bookmarkEnd w:id="11"/>
    </w:p>
    <w:p w14:paraId="14515A9B" w14:textId="77777777" w:rsidR="001E2502" w:rsidRPr="001E2502" w:rsidRDefault="001E2502" w:rsidP="001E2502">
      <w:pPr>
        <w:spacing w:beforeLines="50" w:before="156" w:afterLines="50" w:after="156" w:line="480" w:lineRule="exact"/>
        <w:ind w:firstLineChars="200" w:firstLine="640"/>
        <w:rPr>
          <w:rFonts w:ascii="Times New Roman" w:eastAsia="仿宋_GB2312" w:hAnsi="Times New Roman" w:cs="Times New Roman"/>
          <w:sz w:val="32"/>
          <w:szCs w:val="32"/>
        </w:rPr>
      </w:pPr>
      <w:r w:rsidRPr="001E2502">
        <w:rPr>
          <w:rFonts w:ascii="Times New Roman" w:eastAsia="仿宋_GB2312" w:hAnsi="Times New Roman" w:cs="Times New Roman" w:hint="eastAsia"/>
          <w:sz w:val="32"/>
          <w:szCs w:val="32"/>
        </w:rPr>
        <w:t>本标准起草单位：中南大学</w:t>
      </w:r>
    </w:p>
    <w:p w14:paraId="1999711E" w14:textId="78FC2E0E" w:rsidR="001E2502" w:rsidRDefault="001E2502" w:rsidP="001E2502">
      <w:pPr>
        <w:spacing w:beforeLines="50" w:before="156" w:afterLines="50" w:after="156" w:line="480" w:lineRule="exact"/>
        <w:ind w:firstLineChars="200" w:firstLine="640"/>
        <w:rPr>
          <w:rFonts w:ascii="Times New Roman" w:eastAsia="仿宋_GB2312" w:hAnsi="Times New Roman" w:cs="Times New Roman"/>
          <w:sz w:val="32"/>
          <w:szCs w:val="32"/>
        </w:rPr>
      </w:pPr>
      <w:r w:rsidRPr="001E2502">
        <w:rPr>
          <w:rFonts w:ascii="Times New Roman" w:eastAsia="仿宋_GB2312" w:hAnsi="Times New Roman" w:cs="Times New Roman" w:hint="eastAsia"/>
          <w:sz w:val="32"/>
          <w:szCs w:val="32"/>
        </w:rPr>
        <w:t>本标准起草人：</w:t>
      </w:r>
    </w:p>
    <w:p w14:paraId="7D7FC4DF" w14:textId="5544C9DC" w:rsidR="001E2502" w:rsidRPr="001E2502" w:rsidRDefault="001E2502" w:rsidP="001E2502">
      <w:pPr>
        <w:spacing w:beforeLines="50" w:before="156" w:afterLines="50" w:after="156" w:line="480" w:lineRule="exact"/>
        <w:outlineLvl w:val="1"/>
        <w:rPr>
          <w:rFonts w:ascii="Times New Roman" w:eastAsia="楷体" w:hAnsi="Times New Roman" w:cs="Times New Roman"/>
          <w:b/>
          <w:bCs/>
          <w:sz w:val="32"/>
          <w:szCs w:val="32"/>
        </w:rPr>
      </w:pPr>
      <w:bookmarkStart w:id="12" w:name="_Toc136984233"/>
      <w:r w:rsidRPr="001E2502">
        <w:rPr>
          <w:rFonts w:ascii="Times New Roman" w:eastAsia="楷体" w:hAnsi="Times New Roman" w:cs="Times New Roman" w:hint="eastAsia"/>
          <w:b/>
          <w:bCs/>
          <w:sz w:val="32"/>
          <w:szCs w:val="32"/>
        </w:rPr>
        <w:t>3</w:t>
      </w:r>
      <w:r w:rsidRPr="001E2502">
        <w:rPr>
          <w:rFonts w:ascii="Times New Roman" w:eastAsia="楷体" w:hAnsi="Times New Roman" w:cs="Times New Roman"/>
          <w:b/>
          <w:bCs/>
          <w:sz w:val="32"/>
          <w:szCs w:val="32"/>
        </w:rPr>
        <w:t>.</w:t>
      </w:r>
      <w:r w:rsidRPr="001E2502">
        <w:rPr>
          <w:rFonts w:ascii="Times New Roman" w:eastAsia="楷体" w:hAnsi="Times New Roman" w:cs="Times New Roman" w:hint="eastAsia"/>
          <w:b/>
          <w:bCs/>
          <w:sz w:val="32"/>
          <w:szCs w:val="32"/>
        </w:rPr>
        <w:t>工作过程</w:t>
      </w:r>
      <w:bookmarkEnd w:id="12"/>
    </w:p>
    <w:p w14:paraId="2421DD78" w14:textId="59E3F777" w:rsidR="008500B7" w:rsidRDefault="008500B7" w:rsidP="001E2502">
      <w:pPr>
        <w:spacing w:beforeLines="50" w:before="156" w:afterLines="50" w:after="156" w:line="480" w:lineRule="exact"/>
        <w:ind w:firstLineChars="200" w:firstLine="640"/>
        <w:rPr>
          <w:rFonts w:ascii="Times New Roman" w:eastAsia="仿宋_GB2312" w:hAnsi="Times New Roman" w:cs="Times New Roman"/>
          <w:sz w:val="32"/>
          <w:szCs w:val="32"/>
        </w:rPr>
      </w:pPr>
      <w:r w:rsidRPr="008500B7">
        <w:rPr>
          <w:rFonts w:ascii="Times New Roman" w:eastAsia="仿宋_GB2312" w:hAnsi="Times New Roman" w:cs="Times New Roman"/>
          <w:sz w:val="32"/>
          <w:szCs w:val="32"/>
        </w:rPr>
        <w:t>2020</w:t>
      </w:r>
      <w:r w:rsidRPr="008500B7">
        <w:rPr>
          <w:rFonts w:ascii="Times New Roman" w:eastAsia="仿宋_GB2312" w:hAnsi="Times New Roman" w:cs="Times New Roman"/>
          <w:sz w:val="32"/>
          <w:szCs w:val="32"/>
        </w:rPr>
        <w:t>年</w:t>
      </w:r>
      <w:r w:rsidRPr="008500B7">
        <w:rPr>
          <w:rFonts w:ascii="Times New Roman" w:eastAsia="仿宋_GB2312" w:hAnsi="Times New Roman" w:cs="Times New Roman"/>
          <w:sz w:val="32"/>
          <w:szCs w:val="32"/>
        </w:rPr>
        <w:t>7</w:t>
      </w:r>
      <w:r w:rsidRPr="008500B7">
        <w:rPr>
          <w:rFonts w:ascii="Times New Roman" w:eastAsia="仿宋_GB2312" w:hAnsi="Times New Roman" w:cs="Times New Roman"/>
          <w:sz w:val="32"/>
          <w:szCs w:val="32"/>
        </w:rPr>
        <w:t>月，国家重点研发计划</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场地土壤污染成因与治理技术</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重点专项</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中南有色冶炼场地土壤</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地下水协同修复技术与工程示范（</w:t>
      </w:r>
      <w:r w:rsidRPr="008500B7">
        <w:rPr>
          <w:rFonts w:ascii="Times New Roman" w:eastAsia="仿宋_GB2312" w:hAnsi="Times New Roman" w:cs="Times New Roman"/>
          <w:sz w:val="32"/>
          <w:szCs w:val="32"/>
        </w:rPr>
        <w:t>2019YFC1803600</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项目启动会</w:t>
      </w:r>
      <w:proofErr w:type="gramStart"/>
      <w:r w:rsidRPr="008500B7">
        <w:rPr>
          <w:rFonts w:ascii="Times New Roman" w:eastAsia="仿宋_GB2312" w:hAnsi="Times New Roman" w:cs="Times New Roman"/>
          <w:sz w:val="32"/>
          <w:szCs w:val="32"/>
        </w:rPr>
        <w:t>暨实施</w:t>
      </w:r>
      <w:proofErr w:type="gramEnd"/>
      <w:r w:rsidRPr="008500B7">
        <w:rPr>
          <w:rFonts w:ascii="Times New Roman" w:eastAsia="仿宋_GB2312" w:hAnsi="Times New Roman" w:cs="Times New Roman"/>
          <w:sz w:val="32"/>
          <w:szCs w:val="32"/>
        </w:rPr>
        <w:t>方案论证会在长沙召开。会议采取线上与线下相结合的方式进行，中国</w:t>
      </w:r>
      <w:r w:rsidRPr="008500B7">
        <w:rPr>
          <w:rFonts w:ascii="Times New Roman" w:eastAsia="仿宋_GB2312" w:hAnsi="Times New Roman" w:cs="Times New Roman"/>
          <w:sz w:val="32"/>
          <w:szCs w:val="32"/>
        </w:rPr>
        <w:t>21</w:t>
      </w:r>
      <w:r w:rsidRPr="008500B7">
        <w:rPr>
          <w:rFonts w:ascii="Times New Roman" w:eastAsia="仿宋_GB2312" w:hAnsi="Times New Roman" w:cs="Times New Roman"/>
          <w:sz w:val="32"/>
          <w:szCs w:val="32"/>
        </w:rPr>
        <w:t>世纪议程管理中心、湖南省</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河南省科学技术厅和生态环境厅、中南大学等单位领导出席会议。由</w:t>
      </w:r>
      <w:bookmarkStart w:id="13" w:name="_Hlk135511862"/>
      <w:r w:rsidRPr="008500B7">
        <w:rPr>
          <w:rFonts w:ascii="Times New Roman" w:eastAsia="仿宋_GB2312" w:hAnsi="Times New Roman" w:cs="Times New Roman"/>
          <w:sz w:val="32"/>
          <w:szCs w:val="32"/>
        </w:rPr>
        <w:t>中南大学、清华大学、北京大学、南京大学、南开大学、西南大学</w:t>
      </w:r>
      <w:bookmarkEnd w:id="13"/>
      <w:r w:rsidRPr="008500B7">
        <w:rPr>
          <w:rFonts w:ascii="Times New Roman" w:eastAsia="仿宋_GB2312" w:hAnsi="Times New Roman" w:cs="Times New Roman"/>
          <w:sz w:val="32"/>
          <w:szCs w:val="32"/>
        </w:rPr>
        <w:t>、中国地质大学、南京农业大学、华南师范大学</w:t>
      </w:r>
      <w:r w:rsidRPr="008500B7">
        <w:rPr>
          <w:rFonts w:ascii="Times New Roman" w:eastAsia="仿宋_GB2312" w:hAnsi="Times New Roman" w:cs="Times New Roman" w:hint="eastAsia"/>
          <w:sz w:val="32"/>
          <w:szCs w:val="32"/>
        </w:rPr>
        <w:t>、中国科学院大学、中国环境科学研究院、中科院南京土壤研究所、中科院地理科学与资源研究所、矿冶科技集团有限公司、株洲冶炼集团股份有限公司等</w:t>
      </w:r>
      <w:r>
        <w:rPr>
          <w:rFonts w:ascii="Times New Roman" w:eastAsia="仿宋_GB2312" w:hAnsi="Times New Roman" w:cs="Times New Roman" w:hint="eastAsia"/>
          <w:sz w:val="32"/>
          <w:szCs w:val="32"/>
        </w:rPr>
        <w:t>单位</w:t>
      </w:r>
      <w:r w:rsidRPr="008500B7">
        <w:rPr>
          <w:rFonts w:ascii="Times New Roman" w:eastAsia="仿宋_GB2312" w:hAnsi="Times New Roman" w:cs="Times New Roman"/>
          <w:sz w:val="32"/>
          <w:szCs w:val="32"/>
        </w:rPr>
        <w:t>15</w:t>
      </w:r>
      <w:r w:rsidRPr="008500B7">
        <w:rPr>
          <w:rFonts w:ascii="Times New Roman" w:eastAsia="仿宋_GB2312" w:hAnsi="Times New Roman" w:cs="Times New Roman"/>
          <w:sz w:val="32"/>
          <w:szCs w:val="32"/>
        </w:rPr>
        <w:t>名专家组成的咨询组参加了会议，</w:t>
      </w:r>
      <w:r>
        <w:rPr>
          <w:rFonts w:ascii="Times New Roman" w:eastAsia="仿宋_GB2312" w:hAnsi="Times New Roman" w:cs="Times New Roman" w:hint="eastAsia"/>
          <w:sz w:val="32"/>
          <w:szCs w:val="32"/>
        </w:rPr>
        <w:t>会议提出项目工作目标：</w:t>
      </w:r>
      <w:r w:rsidRPr="008500B7">
        <w:rPr>
          <w:rFonts w:ascii="Times New Roman" w:eastAsia="仿宋_GB2312" w:hAnsi="Times New Roman" w:cs="Times New Roman" w:hint="eastAsia"/>
          <w:sz w:val="32"/>
          <w:szCs w:val="32"/>
        </w:rPr>
        <w:t>明确项目定位，注意课题研究内容衔接</w:t>
      </w:r>
      <w:r>
        <w:rPr>
          <w:rFonts w:ascii="Times New Roman" w:eastAsia="仿宋_GB2312" w:hAnsi="Times New Roman" w:cs="Times New Roman" w:hint="eastAsia"/>
          <w:sz w:val="32"/>
          <w:szCs w:val="32"/>
        </w:rPr>
        <w:t>，</w:t>
      </w:r>
      <w:r w:rsidRPr="008500B7">
        <w:rPr>
          <w:rFonts w:ascii="Times New Roman" w:eastAsia="仿宋_GB2312" w:hAnsi="Times New Roman" w:cs="Times New Roman" w:hint="eastAsia"/>
          <w:sz w:val="32"/>
          <w:szCs w:val="32"/>
        </w:rPr>
        <w:t>通过项目实施，期望在有色金属冶炼场地土壤</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地下水协同修复工程技术创新方面实现超越发展，推动工业遗弃场地的资源增殖和土地贮备，为全国提供样板。</w:t>
      </w:r>
    </w:p>
    <w:p w14:paraId="35E9FA3D" w14:textId="2D7D822F" w:rsidR="000B5A06" w:rsidRDefault="008500B7" w:rsidP="008500B7">
      <w:pPr>
        <w:spacing w:line="480" w:lineRule="exact"/>
        <w:ind w:firstLineChars="200" w:firstLine="640"/>
        <w:rPr>
          <w:rFonts w:ascii="Times New Roman" w:eastAsia="仿宋_GB2312" w:hAnsi="Times New Roman" w:cs="Times New Roman"/>
          <w:sz w:val="32"/>
          <w:szCs w:val="32"/>
        </w:rPr>
      </w:pPr>
      <w:r w:rsidRPr="008500B7">
        <w:rPr>
          <w:rFonts w:ascii="Times New Roman" w:eastAsia="仿宋_GB2312" w:hAnsi="Times New Roman" w:cs="Times New Roman"/>
          <w:sz w:val="32"/>
          <w:szCs w:val="32"/>
        </w:rPr>
        <w:t>2020</w:t>
      </w:r>
      <w:r w:rsidRPr="008500B7">
        <w:rPr>
          <w:rFonts w:ascii="Times New Roman" w:eastAsia="仿宋_GB2312" w:hAnsi="Times New Roman" w:cs="Times New Roman"/>
          <w:sz w:val="32"/>
          <w:szCs w:val="32"/>
        </w:rPr>
        <w:t>年</w:t>
      </w:r>
      <w:r w:rsidRPr="008500B7">
        <w:rPr>
          <w:rFonts w:ascii="Times New Roman" w:eastAsia="仿宋_GB2312" w:hAnsi="Times New Roman" w:cs="Times New Roman"/>
          <w:sz w:val="32"/>
          <w:szCs w:val="32"/>
        </w:rPr>
        <w:t>9</w:t>
      </w:r>
      <w:r w:rsidRPr="008500B7">
        <w:rPr>
          <w:rFonts w:ascii="Times New Roman" w:eastAsia="仿宋_GB2312" w:hAnsi="Times New Roman" w:cs="Times New Roman"/>
          <w:sz w:val="32"/>
          <w:szCs w:val="32"/>
        </w:rPr>
        <w:t>月，国家重点研发计划重点专项</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中南有色冶</w:t>
      </w:r>
      <w:r w:rsidRPr="008500B7">
        <w:rPr>
          <w:rFonts w:ascii="Times New Roman" w:eastAsia="仿宋_GB2312" w:hAnsi="Times New Roman" w:cs="Times New Roman"/>
          <w:sz w:val="32"/>
          <w:szCs w:val="32"/>
        </w:rPr>
        <w:lastRenderedPageBreak/>
        <w:t>炼场地土壤</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地下水协同修复技术与工程示范</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项目研讨会在河南大学中试基地（济源）召开。项目首席科学家、中南大学薛生国教授，项目参与单位中南大学、中科院地球化学研究所、河南大学、河南省地质调查院、湖南省和清环境科技有限公司、</w:t>
      </w:r>
      <w:proofErr w:type="gramStart"/>
      <w:r w:rsidRPr="008500B7">
        <w:rPr>
          <w:rFonts w:ascii="Times New Roman" w:eastAsia="仿宋_GB2312" w:hAnsi="Times New Roman" w:cs="Times New Roman"/>
          <w:sz w:val="32"/>
          <w:szCs w:val="32"/>
        </w:rPr>
        <w:t>中冶南方</w:t>
      </w:r>
      <w:proofErr w:type="gramEnd"/>
      <w:r w:rsidRPr="008500B7">
        <w:rPr>
          <w:rFonts w:ascii="Times New Roman" w:eastAsia="仿宋_GB2312" w:hAnsi="Times New Roman" w:cs="Times New Roman"/>
          <w:sz w:val="32"/>
          <w:szCs w:val="32"/>
        </w:rPr>
        <w:t>都市环保工程技术股份有限公司、中科院南京土壤所、中科院亚热带农业生态研究所、河南省环境保护科学研究院的课题负责人、课题骨干共</w:t>
      </w:r>
      <w:r w:rsidRPr="008500B7">
        <w:rPr>
          <w:rFonts w:ascii="Times New Roman" w:eastAsia="仿宋_GB2312" w:hAnsi="Times New Roman" w:cs="Times New Roman"/>
          <w:sz w:val="32"/>
          <w:szCs w:val="32"/>
        </w:rPr>
        <w:t>40</w:t>
      </w:r>
      <w:r w:rsidRPr="008500B7">
        <w:rPr>
          <w:rFonts w:ascii="Times New Roman" w:eastAsia="仿宋_GB2312" w:hAnsi="Times New Roman" w:cs="Times New Roman"/>
          <w:sz w:val="32"/>
          <w:szCs w:val="32"/>
        </w:rPr>
        <w:t>余名专家参加会议。济源</w:t>
      </w:r>
      <w:proofErr w:type="gramStart"/>
      <w:r w:rsidRPr="008500B7">
        <w:rPr>
          <w:rFonts w:ascii="Times New Roman" w:eastAsia="仿宋_GB2312" w:hAnsi="Times New Roman" w:cs="Times New Roman"/>
          <w:sz w:val="32"/>
          <w:szCs w:val="32"/>
        </w:rPr>
        <w:t>产城融合</w:t>
      </w:r>
      <w:proofErr w:type="gramEnd"/>
      <w:r w:rsidRPr="008500B7">
        <w:rPr>
          <w:rFonts w:ascii="Times New Roman" w:eastAsia="仿宋_GB2312" w:hAnsi="Times New Roman" w:cs="Times New Roman"/>
          <w:sz w:val="32"/>
          <w:szCs w:val="32"/>
        </w:rPr>
        <w:t>示范区生态环境局、生态环境监测中心相关负责人出席会议。我校纳</w:t>
      </w:r>
      <w:r w:rsidRPr="008500B7">
        <w:rPr>
          <w:rFonts w:ascii="Times New Roman" w:eastAsia="仿宋_GB2312" w:hAnsi="Times New Roman" w:cs="Times New Roman" w:hint="eastAsia"/>
          <w:sz w:val="32"/>
          <w:szCs w:val="32"/>
        </w:rPr>
        <w:t>米材料工程研究中心李小红教授作为第二课题牵头人主持“土壤多金属同步固化</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钝化长效修复</w:t>
      </w:r>
      <w:r w:rsidRPr="008500B7">
        <w:rPr>
          <w:rFonts w:ascii="Times New Roman" w:eastAsia="仿宋_GB2312" w:hAnsi="Times New Roman" w:cs="Times New Roman"/>
          <w:sz w:val="32"/>
          <w:szCs w:val="32"/>
        </w:rPr>
        <w:t>”</w:t>
      </w:r>
      <w:r w:rsidRPr="008500B7">
        <w:rPr>
          <w:rFonts w:ascii="Times New Roman" w:eastAsia="仿宋_GB2312" w:hAnsi="Times New Roman" w:cs="Times New Roman"/>
          <w:sz w:val="32"/>
          <w:szCs w:val="32"/>
        </w:rPr>
        <w:t>的研发工作。</w:t>
      </w:r>
    </w:p>
    <w:p w14:paraId="42F80A89" w14:textId="57AA7446" w:rsidR="008500B7" w:rsidRDefault="008500B7" w:rsidP="008500B7">
      <w:pPr>
        <w:spacing w:line="480" w:lineRule="exact"/>
        <w:ind w:firstLineChars="200" w:firstLine="640"/>
        <w:rPr>
          <w:rFonts w:ascii="Times New Roman" w:eastAsia="仿宋_GB2312" w:hAnsi="Times New Roman" w:cs="Times New Roman"/>
          <w:sz w:val="32"/>
          <w:szCs w:val="32"/>
        </w:rPr>
      </w:pPr>
      <w:r w:rsidRPr="008500B7">
        <w:rPr>
          <w:rFonts w:ascii="Times New Roman" w:eastAsia="仿宋_GB2312" w:hAnsi="Times New Roman" w:cs="Times New Roman"/>
          <w:sz w:val="32"/>
          <w:szCs w:val="32"/>
        </w:rPr>
        <w:t>202</w:t>
      </w:r>
      <w:r>
        <w:rPr>
          <w:rFonts w:ascii="Times New Roman" w:eastAsia="仿宋_GB2312" w:hAnsi="Times New Roman" w:cs="Times New Roman"/>
          <w:sz w:val="32"/>
          <w:szCs w:val="32"/>
        </w:rPr>
        <w:t>3</w:t>
      </w:r>
      <w:r w:rsidRPr="008500B7">
        <w:rPr>
          <w:rFonts w:ascii="Times New Roman" w:eastAsia="仿宋_GB2312" w:hAnsi="Times New Roman" w:cs="Times New Roman"/>
          <w:sz w:val="32"/>
          <w:szCs w:val="32"/>
        </w:rPr>
        <w:t>年</w:t>
      </w:r>
      <w:r w:rsidRPr="008500B7">
        <w:rPr>
          <w:rFonts w:ascii="Times New Roman" w:eastAsia="仿宋_GB2312" w:hAnsi="Times New Roman" w:cs="Times New Roman"/>
          <w:sz w:val="32"/>
          <w:szCs w:val="32"/>
        </w:rPr>
        <w:t>2</w:t>
      </w:r>
      <w:r w:rsidRPr="008500B7">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中南大学成</w:t>
      </w:r>
      <w:r w:rsidRPr="008500B7">
        <w:rPr>
          <w:rFonts w:ascii="Times New Roman" w:eastAsia="仿宋_GB2312" w:hAnsi="Times New Roman" w:cs="Times New Roman"/>
          <w:sz w:val="32"/>
          <w:szCs w:val="32"/>
        </w:rPr>
        <w:t>立标准编制工作团队。编制团队广</w:t>
      </w:r>
      <w:r w:rsidRPr="008500B7">
        <w:rPr>
          <w:rFonts w:ascii="Times New Roman" w:eastAsia="仿宋_GB2312" w:hAnsi="Times New Roman" w:cs="Times New Roman" w:hint="eastAsia"/>
          <w:sz w:val="32"/>
          <w:szCs w:val="32"/>
        </w:rPr>
        <w:t>泛调研了相关标准编制情况，收集</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Pr>
          <w:rFonts w:ascii="Times New Roman" w:eastAsia="仿宋_GB2312" w:hAnsi="Times New Roman" w:cs="Times New Roman" w:hint="eastAsia"/>
          <w:sz w:val="32"/>
          <w:szCs w:val="32"/>
        </w:rPr>
        <w:t>重金属污染治理与防控</w:t>
      </w:r>
      <w:r w:rsidRPr="008500B7">
        <w:rPr>
          <w:rFonts w:ascii="Times New Roman" w:eastAsia="仿宋_GB2312" w:hAnsi="Times New Roman" w:cs="Times New Roman" w:hint="eastAsia"/>
          <w:sz w:val="32"/>
          <w:szCs w:val="32"/>
        </w:rPr>
        <w:t>相关基础资料，</w:t>
      </w:r>
      <w:r>
        <w:rPr>
          <w:rFonts w:ascii="Times New Roman" w:eastAsia="仿宋_GB2312" w:hAnsi="Times New Roman" w:cs="Times New Roman" w:hint="eastAsia"/>
          <w:sz w:val="32"/>
          <w:szCs w:val="32"/>
        </w:rPr>
        <w:t>结合重点研发项目研发成果，</w:t>
      </w:r>
      <w:r w:rsidRPr="008500B7">
        <w:rPr>
          <w:rFonts w:ascii="Times New Roman" w:eastAsia="仿宋_GB2312" w:hAnsi="Times New Roman" w:cs="Times New Roman" w:hint="eastAsia"/>
          <w:sz w:val="32"/>
          <w:szCs w:val="32"/>
        </w:rPr>
        <w:t>并制定工作计划。</w:t>
      </w:r>
    </w:p>
    <w:p w14:paraId="294DFDEB" w14:textId="47E8F01D" w:rsidR="008500B7" w:rsidRDefault="008500B7" w:rsidP="008500B7">
      <w:pPr>
        <w:spacing w:line="480" w:lineRule="exact"/>
        <w:ind w:firstLineChars="200" w:firstLine="640"/>
        <w:rPr>
          <w:rFonts w:ascii="Times New Roman" w:eastAsia="仿宋_GB2312" w:hAnsi="Times New Roman" w:cs="Times New Roman"/>
          <w:sz w:val="32"/>
          <w:szCs w:val="32"/>
        </w:rPr>
      </w:pPr>
      <w:r w:rsidRPr="008500B7">
        <w:rPr>
          <w:rFonts w:ascii="Times New Roman" w:eastAsia="仿宋_GB2312" w:hAnsi="Times New Roman" w:cs="Times New Roman"/>
          <w:sz w:val="32"/>
          <w:szCs w:val="32"/>
        </w:rPr>
        <w:t>202</w:t>
      </w:r>
      <w:r>
        <w:rPr>
          <w:rFonts w:ascii="Times New Roman" w:eastAsia="仿宋_GB2312" w:hAnsi="Times New Roman" w:cs="Times New Roman"/>
          <w:sz w:val="32"/>
          <w:szCs w:val="32"/>
        </w:rPr>
        <w:t>3</w:t>
      </w:r>
      <w:r w:rsidRPr="008500B7">
        <w:rPr>
          <w:rFonts w:ascii="Times New Roman" w:eastAsia="仿宋_GB2312" w:hAnsi="Times New Roman" w:cs="Times New Roman"/>
          <w:sz w:val="32"/>
          <w:szCs w:val="32"/>
        </w:rPr>
        <w:t>年</w:t>
      </w:r>
      <w:r w:rsidRPr="008500B7">
        <w:rPr>
          <w:rFonts w:ascii="Times New Roman" w:eastAsia="仿宋_GB2312" w:hAnsi="Times New Roman" w:cs="Times New Roman"/>
          <w:sz w:val="32"/>
          <w:szCs w:val="32"/>
        </w:rPr>
        <w:t>3</w:t>
      </w:r>
      <w:r w:rsidRPr="008500B7">
        <w:rPr>
          <w:rFonts w:ascii="Times New Roman" w:eastAsia="仿宋_GB2312" w:hAnsi="Times New Roman" w:cs="Times New Roman"/>
          <w:sz w:val="32"/>
          <w:szCs w:val="32"/>
        </w:rPr>
        <w:t>月，标准编制团队研究确定了《</w:t>
      </w:r>
      <w:r>
        <w:rPr>
          <w:rFonts w:ascii="Times New Roman" w:eastAsia="仿宋_GB2312" w:hAnsi="Times New Roman" w:cs="Times New Roman" w:hint="eastAsia"/>
          <w:sz w:val="32"/>
          <w:szCs w:val="32"/>
        </w:rPr>
        <w:t>协同修复技术指南</w:t>
      </w:r>
      <w:r w:rsidRPr="008500B7">
        <w:rPr>
          <w:rFonts w:ascii="Times New Roman" w:eastAsia="仿宋_GB2312" w:hAnsi="Times New Roman" w:cs="Times New Roman"/>
          <w:sz w:val="32"/>
          <w:szCs w:val="32"/>
        </w:rPr>
        <w:t>》的编制思</w:t>
      </w:r>
      <w:r w:rsidRPr="008500B7">
        <w:rPr>
          <w:rFonts w:ascii="Times New Roman" w:eastAsia="仿宋_GB2312" w:hAnsi="Times New Roman" w:cs="Times New Roman" w:hint="eastAsia"/>
          <w:sz w:val="32"/>
          <w:szCs w:val="32"/>
        </w:rPr>
        <w:t>路、主要要点，起草了标准的总体框架和主要思路，明确了任务分工，咨询有关专家意见。</w:t>
      </w:r>
    </w:p>
    <w:p w14:paraId="4E506106" w14:textId="2B09C9ED" w:rsidR="008500B7" w:rsidRDefault="008500B7" w:rsidP="008500B7">
      <w:pPr>
        <w:spacing w:line="480" w:lineRule="exact"/>
        <w:ind w:firstLineChars="200" w:firstLine="640"/>
        <w:rPr>
          <w:rFonts w:ascii="Times New Roman" w:eastAsia="仿宋_GB2312" w:hAnsi="Times New Roman" w:cs="Times New Roman"/>
          <w:sz w:val="32"/>
          <w:szCs w:val="32"/>
        </w:rPr>
      </w:pPr>
      <w:r w:rsidRPr="008500B7">
        <w:rPr>
          <w:rFonts w:ascii="Times New Roman" w:eastAsia="仿宋_GB2312" w:hAnsi="Times New Roman" w:cs="Times New Roman"/>
          <w:sz w:val="32"/>
          <w:szCs w:val="32"/>
        </w:rPr>
        <w:t>2022</w:t>
      </w:r>
      <w:r w:rsidRPr="008500B7">
        <w:rPr>
          <w:rFonts w:ascii="Times New Roman" w:eastAsia="仿宋_GB2312" w:hAnsi="Times New Roman" w:cs="Times New Roman"/>
          <w:sz w:val="32"/>
          <w:szCs w:val="32"/>
        </w:rPr>
        <w:t>年</w:t>
      </w:r>
      <w:r w:rsidR="00FB6AF6">
        <w:rPr>
          <w:rFonts w:ascii="Times New Roman" w:eastAsia="仿宋_GB2312" w:hAnsi="Times New Roman" w:cs="Times New Roman"/>
          <w:sz w:val="32"/>
          <w:szCs w:val="32"/>
        </w:rPr>
        <w:t>4</w:t>
      </w:r>
      <w:r w:rsidRPr="008500B7">
        <w:rPr>
          <w:rFonts w:ascii="Times New Roman" w:eastAsia="仿宋_GB2312" w:hAnsi="Times New Roman" w:cs="Times New Roman"/>
          <w:sz w:val="32"/>
          <w:szCs w:val="32"/>
        </w:rPr>
        <w:t>月，编制团队起草形成《</w:t>
      </w:r>
      <w:r w:rsidR="00FB6AF6">
        <w:rPr>
          <w:rFonts w:ascii="Times New Roman" w:eastAsia="仿宋_GB2312" w:hAnsi="Times New Roman" w:cs="Times New Roman" w:hint="eastAsia"/>
          <w:sz w:val="32"/>
          <w:szCs w:val="32"/>
        </w:rPr>
        <w:t>协同修复技术指南</w:t>
      </w:r>
      <w:r w:rsidRPr="008500B7">
        <w:rPr>
          <w:rFonts w:ascii="Times New Roman" w:eastAsia="仿宋_GB2312" w:hAnsi="Times New Roman" w:cs="Times New Roman"/>
          <w:sz w:val="32"/>
          <w:szCs w:val="32"/>
        </w:rPr>
        <w:t>》（草案）</w:t>
      </w:r>
      <w:r w:rsidRPr="008500B7">
        <w:rPr>
          <w:rFonts w:ascii="Times New Roman" w:eastAsia="仿宋_GB2312" w:hAnsi="Times New Roman" w:cs="Times New Roman" w:hint="eastAsia"/>
          <w:sz w:val="32"/>
          <w:szCs w:val="32"/>
        </w:rPr>
        <w:t>初稿。多次咨询</w:t>
      </w:r>
      <w:r w:rsidR="00FB6AF6" w:rsidRPr="00FB6AF6">
        <w:rPr>
          <w:rFonts w:ascii="Times New Roman" w:eastAsia="仿宋_GB2312" w:hAnsi="Times New Roman" w:cs="Times New Roman" w:hint="eastAsia"/>
          <w:sz w:val="32"/>
          <w:szCs w:val="32"/>
        </w:rPr>
        <w:t>中南大学、清华大学、北京大学、南京大学、南开大学、西南大学</w:t>
      </w:r>
      <w:r w:rsidRPr="008500B7">
        <w:rPr>
          <w:rFonts w:ascii="Times New Roman" w:eastAsia="仿宋_GB2312" w:hAnsi="Times New Roman" w:cs="Times New Roman" w:hint="eastAsia"/>
          <w:sz w:val="32"/>
          <w:szCs w:val="32"/>
        </w:rPr>
        <w:t>等相关单位专家意见，并根据意见修改完善</w:t>
      </w:r>
      <w:r>
        <w:rPr>
          <w:rFonts w:ascii="Times New Roman" w:eastAsia="仿宋_GB2312" w:hAnsi="Times New Roman" w:cs="Times New Roman" w:hint="eastAsia"/>
          <w:sz w:val="32"/>
          <w:szCs w:val="32"/>
        </w:rPr>
        <w:t>。</w:t>
      </w:r>
    </w:p>
    <w:p w14:paraId="313CB6B4" w14:textId="77777777" w:rsidR="001E2502" w:rsidRDefault="001E2502" w:rsidP="001E2502">
      <w:pPr>
        <w:pStyle w:val="aa"/>
        <w:adjustRightInd w:val="0"/>
        <w:snapToGrid w:val="0"/>
        <w:spacing w:beforeLines="100" w:before="312" w:afterLines="50" w:after="156" w:line="360" w:lineRule="auto"/>
        <w:jc w:val="left"/>
        <w:rPr>
          <w:rFonts w:ascii="Times New Roman" w:eastAsia="黑体" w:hAnsi="Times New Roman" w:cs="Times New Roman"/>
        </w:rPr>
      </w:pPr>
      <w:bookmarkStart w:id="14" w:name="_Toc29520"/>
      <w:bookmarkStart w:id="15" w:name="_Toc3982"/>
      <w:bookmarkStart w:id="16" w:name="_Toc1273"/>
      <w:bookmarkStart w:id="17" w:name="_Toc8918"/>
      <w:bookmarkStart w:id="18" w:name="_Toc136984234"/>
      <w:r>
        <w:rPr>
          <w:rFonts w:ascii="Times New Roman" w:eastAsia="黑体" w:hAnsi="Times New Roman" w:cs="Times New Roman"/>
        </w:rPr>
        <w:t>第二章</w:t>
      </w:r>
      <w:r>
        <w:rPr>
          <w:rFonts w:ascii="Times New Roman" w:eastAsia="黑体" w:hAnsi="Times New Roman" w:cs="Times New Roman"/>
        </w:rPr>
        <w:t xml:space="preserve"> </w:t>
      </w:r>
      <w:r>
        <w:rPr>
          <w:rFonts w:ascii="Times New Roman" w:eastAsia="黑体" w:hAnsi="Times New Roman" w:cs="Times New Roman"/>
        </w:rPr>
        <w:t>标准编制原则和确定主要内容的论据</w:t>
      </w:r>
      <w:bookmarkEnd w:id="14"/>
      <w:bookmarkEnd w:id="15"/>
      <w:bookmarkEnd w:id="16"/>
      <w:bookmarkEnd w:id="17"/>
      <w:bookmarkEnd w:id="18"/>
    </w:p>
    <w:p w14:paraId="4A5E22E1" w14:textId="5355E24A" w:rsidR="00B11AFE" w:rsidRDefault="001E2502" w:rsidP="001E2502">
      <w:pPr>
        <w:spacing w:beforeLines="50" w:before="156" w:afterLines="50" w:after="156" w:line="480" w:lineRule="exact"/>
        <w:outlineLvl w:val="1"/>
        <w:rPr>
          <w:rFonts w:ascii="楷体" w:eastAsia="楷体" w:hAnsi="楷体" w:cs="Times New Roman"/>
          <w:b/>
          <w:bCs/>
          <w:sz w:val="32"/>
          <w:szCs w:val="32"/>
        </w:rPr>
      </w:pPr>
      <w:bookmarkStart w:id="19" w:name="_Toc136984235"/>
      <w:r w:rsidRPr="00CC5949">
        <w:rPr>
          <w:rFonts w:ascii="Times New Roman" w:eastAsia="楷体" w:hAnsi="Times New Roman" w:cs="Times New Roman"/>
          <w:b/>
          <w:bCs/>
          <w:sz w:val="32"/>
          <w:szCs w:val="32"/>
        </w:rPr>
        <w:t>1.</w:t>
      </w:r>
      <w:r w:rsidRPr="001E2502">
        <w:rPr>
          <w:rFonts w:ascii="楷体" w:eastAsia="楷体" w:hAnsi="楷体" w:cs="Times New Roman" w:hint="eastAsia"/>
          <w:b/>
          <w:bCs/>
          <w:sz w:val="32"/>
          <w:szCs w:val="32"/>
        </w:rPr>
        <w:t>基本原则</w:t>
      </w:r>
      <w:bookmarkEnd w:id="19"/>
    </w:p>
    <w:p w14:paraId="25546A52" w14:textId="195B6712" w:rsidR="001E2502" w:rsidRDefault="001E2502" w:rsidP="001E2502">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规范性原则：</w:t>
      </w:r>
      <w:r w:rsidRPr="00E57D77">
        <w:rPr>
          <w:rFonts w:ascii="Times New Roman" w:eastAsia="仿宋_GB2312" w:hAnsi="Times New Roman" w:cs="Times New Roman" w:hint="eastAsia"/>
          <w:sz w:val="32"/>
          <w:szCs w:val="32"/>
        </w:rPr>
        <w:t>采用程序化和系统化的方式规范</w:t>
      </w:r>
      <w:r>
        <w:rPr>
          <w:rFonts w:ascii="Times New Roman" w:eastAsia="仿宋_GB2312" w:hAnsi="Times New Roman" w:cs="Times New Roman" w:hint="eastAsia"/>
          <w:sz w:val="32"/>
          <w:szCs w:val="32"/>
        </w:rPr>
        <w:t>有色冶炼</w:t>
      </w:r>
      <w:r w:rsidRPr="00E57D77">
        <w:rPr>
          <w:rFonts w:ascii="Times New Roman" w:eastAsia="仿宋_GB2312" w:hAnsi="Times New Roman" w:cs="Times New Roman" w:hint="eastAsia"/>
          <w:sz w:val="32"/>
          <w:szCs w:val="32"/>
        </w:rPr>
        <w:t>污染场地</w:t>
      </w:r>
      <w:r>
        <w:rPr>
          <w:rFonts w:ascii="Times New Roman" w:eastAsia="仿宋_GB2312" w:hAnsi="Times New Roman" w:cs="Times New Roman" w:hint="eastAsia"/>
          <w:sz w:val="32"/>
          <w:szCs w:val="32"/>
        </w:rPr>
        <w:t>土壤和地下水</w:t>
      </w:r>
      <w:r w:rsidRPr="00E57D77">
        <w:rPr>
          <w:rFonts w:ascii="Times New Roman" w:eastAsia="仿宋_GB2312" w:hAnsi="Times New Roman" w:cs="Times New Roman" w:hint="eastAsia"/>
          <w:sz w:val="32"/>
          <w:szCs w:val="32"/>
        </w:rPr>
        <w:t>修复过程和行为，恢复场地使用功能。</w:t>
      </w:r>
    </w:p>
    <w:p w14:paraId="327F9DC3" w14:textId="116A53A3" w:rsidR="001E2502" w:rsidRDefault="001E2502" w:rsidP="001E2502">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可行性原则：</w:t>
      </w:r>
      <w:r w:rsidRPr="00E57D77">
        <w:rPr>
          <w:rFonts w:ascii="Times New Roman" w:eastAsia="仿宋_GB2312" w:hAnsi="Times New Roman" w:cs="Times New Roman" w:hint="eastAsia"/>
          <w:sz w:val="32"/>
          <w:szCs w:val="32"/>
        </w:rPr>
        <w:t>针对场地特征条件和健康风险综合考虑污</w:t>
      </w:r>
      <w:r w:rsidRPr="00E57D77">
        <w:rPr>
          <w:rFonts w:ascii="Times New Roman" w:eastAsia="仿宋_GB2312" w:hAnsi="Times New Roman" w:cs="Times New Roman" w:hint="eastAsia"/>
          <w:sz w:val="32"/>
          <w:szCs w:val="32"/>
        </w:rPr>
        <w:lastRenderedPageBreak/>
        <w:t>染场地修复目标、修复技术的应用效果、修复时间、修复成本、修复工程的环境影响等因素，合理选择修复技术，科学制定修复方案，使修复工程切实可行。</w:t>
      </w:r>
    </w:p>
    <w:p w14:paraId="07FA3874" w14:textId="082037EC" w:rsidR="001E2502" w:rsidRDefault="001E2502" w:rsidP="001E2502">
      <w:pPr>
        <w:spacing w:line="480" w:lineRule="exact"/>
        <w:ind w:firstLineChars="200" w:firstLine="640"/>
        <w:rPr>
          <w:rFonts w:ascii="Times New Roman" w:eastAsia="仿宋_GB2312" w:hAnsi="Times New Roman" w:cs="Times New Roman"/>
          <w:sz w:val="32"/>
          <w:szCs w:val="32"/>
        </w:rPr>
      </w:pPr>
      <w:r w:rsidRPr="00E57D77">
        <w:rPr>
          <w:rFonts w:ascii="Times New Roman" w:eastAsia="仿宋_GB2312" w:hAnsi="Times New Roman" w:cs="Times New Roman" w:hint="eastAsia"/>
          <w:sz w:val="32"/>
          <w:szCs w:val="32"/>
        </w:rPr>
        <w:t>安全性原则</w:t>
      </w:r>
      <w:r>
        <w:rPr>
          <w:rFonts w:ascii="Times New Roman" w:eastAsia="仿宋_GB2312" w:hAnsi="Times New Roman" w:cs="Times New Roman" w:hint="eastAsia"/>
          <w:sz w:val="32"/>
          <w:szCs w:val="32"/>
        </w:rPr>
        <w:t>：</w:t>
      </w:r>
      <w:r w:rsidRPr="00E57D77">
        <w:rPr>
          <w:rFonts w:ascii="Times New Roman" w:eastAsia="仿宋_GB2312" w:hAnsi="Times New Roman" w:cs="Times New Roman" w:hint="eastAsia"/>
          <w:sz w:val="32"/>
          <w:szCs w:val="32"/>
        </w:rPr>
        <w:t>污染场地修复工程的实施应注意施工安全和对周边环境的影响，避免对施工人员和周边人群健康产生危害。</w:t>
      </w:r>
    </w:p>
    <w:p w14:paraId="0BCD8837" w14:textId="07FFB23B" w:rsidR="001E2502" w:rsidRDefault="00540B1E" w:rsidP="001E2502">
      <w:pPr>
        <w:spacing w:beforeLines="50" w:before="156" w:afterLines="50" w:after="156" w:line="480" w:lineRule="exact"/>
        <w:outlineLvl w:val="1"/>
        <w:rPr>
          <w:rFonts w:ascii="楷体" w:eastAsia="楷体" w:hAnsi="楷体" w:cs="Times New Roman"/>
          <w:b/>
          <w:bCs/>
          <w:sz w:val="32"/>
          <w:szCs w:val="32"/>
        </w:rPr>
      </w:pPr>
      <w:bookmarkStart w:id="20" w:name="_Toc136984236"/>
      <w:r>
        <w:rPr>
          <w:rFonts w:ascii="Times New Roman" w:eastAsia="楷体" w:hAnsi="Times New Roman" w:cs="Times New Roman"/>
          <w:b/>
          <w:bCs/>
          <w:sz w:val="32"/>
          <w:szCs w:val="32"/>
        </w:rPr>
        <w:t>2</w:t>
      </w:r>
      <w:r w:rsidR="001E2502" w:rsidRPr="00CC5949">
        <w:rPr>
          <w:rFonts w:ascii="Times New Roman" w:eastAsia="楷体" w:hAnsi="Times New Roman" w:cs="Times New Roman"/>
          <w:b/>
          <w:bCs/>
          <w:sz w:val="32"/>
          <w:szCs w:val="32"/>
        </w:rPr>
        <w:t>.</w:t>
      </w:r>
      <w:r w:rsidR="001E2502" w:rsidRPr="001E2502">
        <w:rPr>
          <w:rFonts w:ascii="楷体" w:eastAsia="楷体" w:hAnsi="楷体" w:cs="Times New Roman" w:hint="eastAsia"/>
          <w:b/>
          <w:bCs/>
          <w:sz w:val="32"/>
          <w:szCs w:val="32"/>
        </w:rPr>
        <w:t>标准编制的目的任务</w:t>
      </w:r>
      <w:bookmarkEnd w:id="20"/>
    </w:p>
    <w:p w14:paraId="25509EEC" w14:textId="25225324" w:rsidR="001E2502" w:rsidRDefault="001E2502" w:rsidP="001E2502">
      <w:pPr>
        <w:spacing w:line="480" w:lineRule="exact"/>
        <w:ind w:firstLineChars="200" w:firstLine="640"/>
        <w:rPr>
          <w:rFonts w:ascii="Times New Roman" w:eastAsia="仿宋_GB2312" w:hAnsi="Times New Roman" w:cs="Times New Roman"/>
          <w:sz w:val="32"/>
          <w:szCs w:val="32"/>
        </w:rPr>
      </w:pPr>
      <w:r w:rsidRPr="001E2502">
        <w:rPr>
          <w:rFonts w:ascii="Times New Roman" w:eastAsia="仿宋_GB2312" w:hAnsi="Times New Roman" w:cs="Times New Roman" w:hint="eastAsia"/>
          <w:sz w:val="32"/>
          <w:szCs w:val="32"/>
        </w:rPr>
        <w:t>本标准规定了</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sidR="00540B1E" w:rsidRPr="00540B1E">
        <w:rPr>
          <w:rFonts w:ascii="Times New Roman" w:eastAsia="仿宋_GB2312" w:hAnsi="Times New Roman" w:cs="Times New Roman"/>
          <w:sz w:val="32"/>
          <w:szCs w:val="32"/>
        </w:rPr>
        <w:t>重金属污染协同修复技术</w:t>
      </w:r>
      <w:r w:rsidR="00540B1E">
        <w:rPr>
          <w:rFonts w:ascii="Times New Roman" w:eastAsia="仿宋_GB2312" w:hAnsi="Times New Roman" w:cs="Times New Roman" w:hint="eastAsia"/>
          <w:sz w:val="32"/>
          <w:szCs w:val="32"/>
        </w:rPr>
        <w:t>实施的</w:t>
      </w:r>
      <w:r w:rsidRPr="001E2502">
        <w:rPr>
          <w:rFonts w:ascii="Times New Roman" w:eastAsia="仿宋_GB2312" w:hAnsi="Times New Roman" w:cs="Times New Roman" w:hint="eastAsia"/>
          <w:sz w:val="32"/>
          <w:szCs w:val="32"/>
        </w:rPr>
        <w:t>技术要求。</w:t>
      </w:r>
      <w:r w:rsidRPr="001E2502">
        <w:rPr>
          <w:rFonts w:ascii="Times New Roman" w:eastAsia="仿宋_GB2312" w:hAnsi="Times New Roman" w:cs="Times New Roman"/>
          <w:sz w:val="32"/>
          <w:szCs w:val="32"/>
        </w:rPr>
        <w:t>目的是采用协同化的场地修复技术，转移、吸收、转化或去除场地土壤和地下水中的重金属污染物，或阻断重金属污染物对受体的暴露途径，使场地对暴露人群的健康风险控制在可接受水平，从而恢复场地使用功能，保证场地二次开发利用的安全性。</w:t>
      </w:r>
    </w:p>
    <w:p w14:paraId="570E0038" w14:textId="0FE03555" w:rsidR="001E2502" w:rsidRDefault="001E2502" w:rsidP="001E2502">
      <w:pPr>
        <w:spacing w:line="480" w:lineRule="exact"/>
        <w:ind w:firstLineChars="200" w:firstLine="640"/>
        <w:rPr>
          <w:rFonts w:ascii="Times New Roman" w:eastAsia="仿宋_GB2312" w:hAnsi="Times New Roman" w:cs="Times New Roman"/>
          <w:sz w:val="32"/>
          <w:szCs w:val="32"/>
        </w:rPr>
      </w:pPr>
      <w:r w:rsidRPr="001E2502">
        <w:rPr>
          <w:rFonts w:ascii="Times New Roman" w:eastAsia="仿宋_GB2312" w:hAnsi="Times New Roman" w:cs="Times New Roman" w:hint="eastAsia"/>
          <w:sz w:val="32"/>
          <w:szCs w:val="32"/>
        </w:rPr>
        <w:t>通过开展</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sidR="00540B1E" w:rsidRPr="00540B1E">
        <w:rPr>
          <w:rFonts w:ascii="Times New Roman" w:eastAsia="仿宋_GB2312" w:hAnsi="Times New Roman" w:cs="Times New Roman"/>
          <w:sz w:val="32"/>
          <w:szCs w:val="32"/>
        </w:rPr>
        <w:t>重金属污染协同修复</w:t>
      </w:r>
      <w:r w:rsidRPr="001E2502">
        <w:rPr>
          <w:rFonts w:ascii="Times New Roman" w:eastAsia="仿宋_GB2312" w:hAnsi="Times New Roman" w:cs="Times New Roman" w:hint="eastAsia"/>
          <w:sz w:val="32"/>
          <w:szCs w:val="32"/>
        </w:rPr>
        <w:t>，对有色金属资源利用造成的冶炼场地</w:t>
      </w:r>
      <w:r w:rsidR="00540B1E">
        <w:rPr>
          <w:rFonts w:ascii="Times New Roman" w:eastAsia="仿宋_GB2312" w:hAnsi="Times New Roman" w:cs="Times New Roman" w:hint="eastAsia"/>
          <w:sz w:val="32"/>
          <w:szCs w:val="32"/>
        </w:rPr>
        <w:t>环境污染损害和</w:t>
      </w:r>
      <w:r w:rsidRPr="001E2502">
        <w:rPr>
          <w:rFonts w:ascii="Times New Roman" w:eastAsia="仿宋_GB2312" w:hAnsi="Times New Roman" w:cs="Times New Roman" w:hint="eastAsia"/>
          <w:sz w:val="32"/>
          <w:szCs w:val="32"/>
        </w:rPr>
        <w:t>区域</w:t>
      </w:r>
      <w:r w:rsidR="00540B1E">
        <w:rPr>
          <w:rFonts w:ascii="Times New Roman" w:eastAsia="仿宋_GB2312" w:hAnsi="Times New Roman" w:cs="Times New Roman" w:hint="eastAsia"/>
          <w:sz w:val="32"/>
          <w:szCs w:val="32"/>
        </w:rPr>
        <w:t>污染风险</w:t>
      </w:r>
      <w:r w:rsidRPr="001E2502">
        <w:rPr>
          <w:rFonts w:ascii="Times New Roman" w:eastAsia="仿宋_GB2312" w:hAnsi="Times New Roman" w:cs="Times New Roman" w:hint="eastAsia"/>
          <w:sz w:val="32"/>
          <w:szCs w:val="32"/>
        </w:rPr>
        <w:t>进行综合</w:t>
      </w:r>
      <w:r w:rsidR="00540B1E">
        <w:rPr>
          <w:rFonts w:ascii="Times New Roman" w:eastAsia="仿宋_GB2312" w:hAnsi="Times New Roman" w:cs="Times New Roman" w:hint="eastAsia"/>
          <w:sz w:val="32"/>
          <w:szCs w:val="32"/>
        </w:rPr>
        <w:t>管控与治理</w:t>
      </w:r>
      <w:r w:rsidRPr="001E2502">
        <w:rPr>
          <w:rFonts w:ascii="Times New Roman" w:eastAsia="仿宋_GB2312" w:hAnsi="Times New Roman" w:cs="Times New Roman" w:hint="eastAsia"/>
          <w:sz w:val="32"/>
          <w:szCs w:val="32"/>
        </w:rPr>
        <w:t>，消除威胁人民生命财产安全的地质安全隐患、改善水土环境，使得因冶炼活动而破坏的区域生态系统得到改善，达到</w:t>
      </w:r>
      <w:r w:rsidR="00540B1E">
        <w:rPr>
          <w:rFonts w:ascii="Times New Roman" w:eastAsia="仿宋_GB2312" w:hAnsi="Times New Roman" w:cs="Times New Roman" w:hint="eastAsia"/>
          <w:sz w:val="32"/>
          <w:szCs w:val="32"/>
        </w:rPr>
        <w:t>人与自然和谐相处</w:t>
      </w:r>
      <w:r w:rsidRPr="001E2502">
        <w:rPr>
          <w:rFonts w:ascii="Times New Roman" w:eastAsia="仿宋_GB2312" w:hAnsi="Times New Roman" w:cs="Times New Roman" w:hint="eastAsia"/>
          <w:sz w:val="32"/>
          <w:szCs w:val="32"/>
        </w:rPr>
        <w:t>。</w:t>
      </w:r>
    </w:p>
    <w:p w14:paraId="128ED43A" w14:textId="5AD82CFA" w:rsidR="00540B1E" w:rsidRDefault="00540B1E" w:rsidP="00540B1E">
      <w:pPr>
        <w:spacing w:beforeLines="50" w:before="156" w:afterLines="50" w:after="156" w:line="480" w:lineRule="exact"/>
        <w:outlineLvl w:val="1"/>
        <w:rPr>
          <w:rFonts w:ascii="楷体" w:eastAsia="楷体" w:hAnsi="楷体" w:cs="Times New Roman"/>
          <w:b/>
          <w:bCs/>
          <w:sz w:val="32"/>
          <w:szCs w:val="32"/>
        </w:rPr>
      </w:pPr>
      <w:bookmarkStart w:id="21" w:name="_Toc136984237"/>
      <w:r>
        <w:rPr>
          <w:rFonts w:ascii="Times New Roman" w:eastAsia="楷体" w:hAnsi="Times New Roman" w:cs="Times New Roman"/>
          <w:b/>
          <w:bCs/>
          <w:sz w:val="32"/>
          <w:szCs w:val="32"/>
        </w:rPr>
        <w:t>3</w:t>
      </w:r>
      <w:r w:rsidRPr="00CC5949">
        <w:rPr>
          <w:rFonts w:ascii="Times New Roman" w:eastAsia="楷体" w:hAnsi="Times New Roman" w:cs="Times New Roman"/>
          <w:b/>
          <w:bCs/>
          <w:sz w:val="32"/>
          <w:szCs w:val="32"/>
        </w:rPr>
        <w:t>.</w:t>
      </w:r>
      <w:r w:rsidRPr="00540B1E">
        <w:rPr>
          <w:rFonts w:ascii="楷体" w:eastAsia="楷体" w:hAnsi="楷体" w:cs="Times New Roman" w:hint="eastAsia"/>
          <w:b/>
          <w:bCs/>
          <w:sz w:val="32"/>
          <w:szCs w:val="32"/>
        </w:rPr>
        <w:t>确定主要内容的论据</w:t>
      </w:r>
      <w:bookmarkEnd w:id="21"/>
    </w:p>
    <w:p w14:paraId="4D512FA3" w14:textId="46E5B668" w:rsidR="00540B1E" w:rsidRPr="00540B1E" w:rsidRDefault="00540B1E" w:rsidP="00540B1E">
      <w:pPr>
        <w:spacing w:line="480" w:lineRule="exact"/>
        <w:ind w:firstLineChars="200" w:firstLine="640"/>
        <w:rPr>
          <w:rFonts w:ascii="Times New Roman" w:eastAsia="仿宋_GB2312" w:hAnsi="Times New Roman" w:cs="Times New Roman"/>
          <w:sz w:val="32"/>
          <w:szCs w:val="32"/>
        </w:rPr>
      </w:pPr>
      <w:r w:rsidRPr="00540B1E">
        <w:rPr>
          <w:rFonts w:ascii="Times New Roman" w:eastAsia="仿宋_GB2312" w:hAnsi="Times New Roman" w:cs="Times New Roman" w:hint="eastAsia"/>
          <w:sz w:val="32"/>
          <w:szCs w:val="32"/>
        </w:rPr>
        <w:t>我国有色金属产量连续多年居世界第一，有色金属工业在推动国民经济发展的同时，也带来了一系列的生态环境问题。随着有色金属产业结构升级，“退城进园”和“退二进三”政策的推行，资源型城市及周边地区出现大面积的工业遗留场地，存在极大的环境风险。主要表现为场地土壤</w:t>
      </w:r>
      <w:r w:rsidRPr="00540B1E">
        <w:rPr>
          <w:rFonts w:ascii="Times New Roman" w:eastAsia="仿宋_GB2312" w:hAnsi="Times New Roman" w:cs="Times New Roman"/>
          <w:sz w:val="32"/>
          <w:szCs w:val="32"/>
        </w:rPr>
        <w:t>-</w:t>
      </w:r>
      <w:r w:rsidRPr="00540B1E">
        <w:rPr>
          <w:rFonts w:ascii="Times New Roman" w:eastAsia="仿宋_GB2312" w:hAnsi="Times New Roman" w:cs="Times New Roman"/>
          <w:sz w:val="32"/>
          <w:szCs w:val="32"/>
        </w:rPr>
        <w:t>地下水重金属污染严重、严重威胁周边区域生态环境安全，迫切需要推进</w:t>
      </w:r>
      <w:r w:rsidR="00290CE6">
        <w:rPr>
          <w:rFonts w:ascii="Times New Roman" w:eastAsia="仿宋_GB2312" w:hAnsi="Times New Roman" w:cs="Times New Roman"/>
          <w:sz w:val="32"/>
          <w:szCs w:val="32"/>
        </w:rPr>
        <w:t>有色金属冶炼场地土壤</w:t>
      </w:r>
      <w:r w:rsidR="00290CE6">
        <w:rPr>
          <w:rFonts w:ascii="Times New Roman" w:eastAsia="仿宋_GB2312" w:hAnsi="Times New Roman" w:cs="Times New Roman"/>
          <w:sz w:val="32"/>
          <w:szCs w:val="32"/>
        </w:rPr>
        <w:t>-</w:t>
      </w:r>
      <w:r w:rsidR="00290CE6">
        <w:rPr>
          <w:rFonts w:ascii="Times New Roman" w:eastAsia="仿宋_GB2312" w:hAnsi="Times New Roman" w:cs="Times New Roman"/>
          <w:sz w:val="32"/>
          <w:szCs w:val="32"/>
        </w:rPr>
        <w:t>地下水</w:t>
      </w:r>
      <w:r w:rsidRPr="00540B1E">
        <w:rPr>
          <w:rFonts w:ascii="Times New Roman" w:eastAsia="仿宋_GB2312" w:hAnsi="Times New Roman" w:cs="Times New Roman"/>
          <w:sz w:val="32"/>
          <w:szCs w:val="32"/>
        </w:rPr>
        <w:t>修复与理，以保障资源永续利用。</w:t>
      </w:r>
    </w:p>
    <w:p w14:paraId="1FEA0551" w14:textId="38AFBE4E" w:rsidR="00540B1E" w:rsidRDefault="00540B1E" w:rsidP="00540B1E">
      <w:pPr>
        <w:spacing w:line="480" w:lineRule="exact"/>
        <w:ind w:firstLineChars="200" w:firstLine="640"/>
        <w:rPr>
          <w:rFonts w:ascii="Times New Roman" w:eastAsia="仿宋_GB2312" w:hAnsi="Times New Roman" w:cs="Times New Roman"/>
          <w:sz w:val="32"/>
          <w:szCs w:val="32"/>
        </w:rPr>
      </w:pPr>
      <w:r w:rsidRPr="00540B1E">
        <w:rPr>
          <w:rFonts w:ascii="Times New Roman" w:eastAsia="仿宋_GB2312" w:hAnsi="Times New Roman" w:cs="Times New Roman" w:hint="eastAsia"/>
          <w:sz w:val="32"/>
          <w:szCs w:val="32"/>
        </w:rPr>
        <w:lastRenderedPageBreak/>
        <w:t>本</w:t>
      </w:r>
      <w:r>
        <w:rPr>
          <w:rFonts w:ascii="Times New Roman" w:eastAsia="仿宋_GB2312" w:hAnsi="Times New Roman" w:cs="Times New Roman" w:hint="eastAsia"/>
          <w:sz w:val="32"/>
          <w:szCs w:val="32"/>
        </w:rPr>
        <w:t>规范</w:t>
      </w:r>
      <w:r w:rsidRPr="00540B1E">
        <w:rPr>
          <w:rFonts w:ascii="Times New Roman" w:eastAsia="仿宋_GB2312" w:hAnsi="Times New Roman" w:cs="Times New Roman" w:hint="eastAsia"/>
          <w:sz w:val="32"/>
          <w:szCs w:val="32"/>
        </w:rPr>
        <w:t>针对</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sidRPr="00540B1E">
        <w:rPr>
          <w:rFonts w:ascii="Times New Roman" w:eastAsia="仿宋_GB2312" w:hAnsi="Times New Roman" w:cs="Times New Roman"/>
          <w:sz w:val="32"/>
          <w:szCs w:val="32"/>
        </w:rPr>
        <w:t>重金属污染修复与治理过程中存在的污染范围难以精准界定、污染传输规律不明、扩散趋势无法有效预测、修复技术适用性差且多修复技术耦合难等系列问题。在高精度、大样本、多源化、周期性动态监测实验基础上，融合地理信息系统、地统计学、复杂地质体三维表征、地下水水文分析、数值模拟、机器学习等学科交叉的先进分析技术，建立了系统化的研究思路，主要包括掌握污染特征、阐明污染成因、污染三维刻画、厘清污染传输、实现趋势预测</w:t>
      </w:r>
      <w:r w:rsidRPr="00540B1E">
        <w:rPr>
          <w:rFonts w:ascii="Times New Roman" w:eastAsia="仿宋_GB2312" w:hAnsi="Times New Roman" w:cs="Times New Roman" w:hint="eastAsia"/>
          <w:sz w:val="32"/>
          <w:szCs w:val="32"/>
        </w:rPr>
        <w:t>、进而形成针对性、智能化的污染阻控措施。基本实现了有色冶炼场地污染特征的准确把握、污染格局形成原因的定量解释、污染三维刻画的深度应用、土</w:t>
      </w:r>
      <w:r w:rsidRPr="00540B1E">
        <w:rPr>
          <w:rFonts w:ascii="Times New Roman" w:eastAsia="仿宋_GB2312" w:hAnsi="Times New Roman" w:cs="Times New Roman"/>
          <w:sz w:val="32"/>
          <w:szCs w:val="32"/>
        </w:rPr>
        <w:t>-</w:t>
      </w:r>
      <w:r w:rsidRPr="00540B1E">
        <w:rPr>
          <w:rFonts w:ascii="Times New Roman" w:eastAsia="仿宋_GB2312" w:hAnsi="Times New Roman" w:cs="Times New Roman"/>
          <w:sz w:val="32"/>
          <w:szCs w:val="32"/>
        </w:rPr>
        <w:t>水污染传输规律的现场验证、污染扩散趋势的精准预测、修复策略的智能化确定与场景应用。为实现有色冶炼场地及影响区域重金属污染防控和修复提供新的思路和可行化的解决方案。</w:t>
      </w:r>
    </w:p>
    <w:p w14:paraId="6811222F" w14:textId="76C77AB8" w:rsidR="006159E7" w:rsidRDefault="006159E7" w:rsidP="006159E7">
      <w:pPr>
        <w:spacing w:beforeLines="50" w:before="156" w:afterLines="50" w:after="156" w:line="480" w:lineRule="exact"/>
        <w:outlineLvl w:val="1"/>
        <w:rPr>
          <w:rFonts w:ascii="楷体" w:eastAsia="楷体" w:hAnsi="楷体" w:cs="Times New Roman"/>
          <w:b/>
          <w:bCs/>
          <w:sz w:val="32"/>
          <w:szCs w:val="32"/>
        </w:rPr>
      </w:pPr>
      <w:bookmarkStart w:id="22" w:name="_Toc136984238"/>
      <w:r>
        <w:rPr>
          <w:rFonts w:ascii="Times New Roman" w:eastAsia="楷体" w:hAnsi="Times New Roman" w:cs="Times New Roman"/>
          <w:b/>
          <w:bCs/>
          <w:sz w:val="32"/>
          <w:szCs w:val="32"/>
        </w:rPr>
        <w:t>4</w:t>
      </w:r>
      <w:r w:rsidRPr="00CC5949">
        <w:rPr>
          <w:rFonts w:ascii="Times New Roman" w:eastAsia="楷体" w:hAnsi="Times New Roman" w:cs="Times New Roman"/>
          <w:b/>
          <w:bCs/>
          <w:sz w:val="32"/>
          <w:szCs w:val="32"/>
        </w:rPr>
        <w:t>.</w:t>
      </w:r>
      <w:r w:rsidRPr="006159E7">
        <w:rPr>
          <w:rFonts w:hint="eastAsia"/>
        </w:rPr>
        <w:t xml:space="preserve"> </w:t>
      </w:r>
      <w:r w:rsidRPr="006159E7">
        <w:rPr>
          <w:rFonts w:ascii="楷体" w:eastAsia="楷体" w:hAnsi="楷体" w:cs="Times New Roman" w:hint="eastAsia"/>
          <w:b/>
          <w:bCs/>
          <w:sz w:val="32"/>
          <w:szCs w:val="32"/>
        </w:rPr>
        <w:t>标准编制的技术路线</w:t>
      </w:r>
      <w:bookmarkEnd w:id="22"/>
    </w:p>
    <w:p w14:paraId="079D86D7" w14:textId="4CCCFADC" w:rsidR="006159E7" w:rsidRDefault="006159E7" w:rsidP="00540B1E">
      <w:pPr>
        <w:spacing w:line="480" w:lineRule="exact"/>
        <w:ind w:firstLineChars="200" w:firstLine="640"/>
        <w:rPr>
          <w:rFonts w:ascii="Times New Roman" w:eastAsia="仿宋_GB2312" w:hAnsi="Times New Roman" w:cs="Times New Roman"/>
          <w:sz w:val="32"/>
          <w:szCs w:val="32"/>
        </w:rPr>
      </w:pPr>
      <w:r w:rsidRPr="006159E7">
        <w:rPr>
          <w:rFonts w:ascii="Times New Roman" w:eastAsia="仿宋_GB2312" w:hAnsi="Times New Roman" w:cs="Times New Roman" w:hint="eastAsia"/>
          <w:sz w:val="32"/>
          <w:szCs w:val="32"/>
        </w:rPr>
        <w:t>标准编制采取的主要技术路线如图</w:t>
      </w:r>
      <w:r w:rsidRPr="006159E7">
        <w:rPr>
          <w:rFonts w:ascii="Times New Roman" w:eastAsia="仿宋_GB2312" w:hAnsi="Times New Roman" w:cs="Times New Roman"/>
          <w:sz w:val="32"/>
          <w:szCs w:val="32"/>
        </w:rPr>
        <w:t>1</w:t>
      </w:r>
      <w:r w:rsidRPr="006159E7">
        <w:rPr>
          <w:rFonts w:ascii="Times New Roman" w:eastAsia="仿宋_GB2312" w:hAnsi="Times New Roman" w:cs="Times New Roman"/>
          <w:sz w:val="32"/>
          <w:szCs w:val="32"/>
        </w:rPr>
        <w:t>所示：</w:t>
      </w:r>
    </w:p>
    <w:p w14:paraId="6EC0B4EB" w14:textId="10E064CB" w:rsidR="006159E7" w:rsidRDefault="006159E7" w:rsidP="00540B1E">
      <w:pPr>
        <w:spacing w:line="480" w:lineRule="exact"/>
        <w:ind w:firstLineChars="200" w:firstLine="640"/>
        <w:rPr>
          <w:rFonts w:ascii="Times New Roman" w:eastAsia="仿宋_GB2312" w:hAnsi="Times New Roman" w:cs="Times New Roman"/>
          <w:sz w:val="32"/>
          <w:szCs w:val="32"/>
        </w:rPr>
      </w:pPr>
    </w:p>
    <w:p w14:paraId="0B876729" w14:textId="648D5833" w:rsidR="006159E7" w:rsidRDefault="006159E7" w:rsidP="00540B1E">
      <w:pPr>
        <w:spacing w:line="480" w:lineRule="exact"/>
        <w:ind w:firstLineChars="200" w:firstLine="640"/>
        <w:rPr>
          <w:rFonts w:ascii="Times New Roman" w:eastAsia="仿宋_GB2312" w:hAnsi="Times New Roman" w:cs="Times New Roman"/>
          <w:sz w:val="32"/>
          <w:szCs w:val="32"/>
        </w:rPr>
      </w:pPr>
    </w:p>
    <w:p w14:paraId="1D7D813C" w14:textId="72D39311" w:rsidR="006159E7" w:rsidRDefault="006159E7" w:rsidP="00540B1E">
      <w:pPr>
        <w:spacing w:line="480" w:lineRule="exact"/>
        <w:ind w:firstLineChars="200" w:firstLine="640"/>
        <w:rPr>
          <w:rFonts w:ascii="Times New Roman" w:eastAsia="仿宋_GB2312" w:hAnsi="Times New Roman" w:cs="Times New Roman"/>
          <w:sz w:val="32"/>
          <w:szCs w:val="32"/>
        </w:rPr>
      </w:pPr>
    </w:p>
    <w:p w14:paraId="39BDDCD3" w14:textId="43CD68FD" w:rsidR="006159E7" w:rsidRDefault="006159E7" w:rsidP="00540B1E">
      <w:pPr>
        <w:spacing w:line="480" w:lineRule="exact"/>
        <w:ind w:firstLineChars="200" w:firstLine="640"/>
        <w:rPr>
          <w:rFonts w:ascii="Times New Roman" w:eastAsia="仿宋_GB2312" w:hAnsi="Times New Roman" w:cs="Times New Roman"/>
          <w:sz w:val="32"/>
          <w:szCs w:val="32"/>
        </w:rPr>
      </w:pPr>
    </w:p>
    <w:p w14:paraId="3A417FB0" w14:textId="7DCC4B3D" w:rsidR="006159E7" w:rsidRDefault="006159E7" w:rsidP="00540B1E">
      <w:pPr>
        <w:spacing w:line="480" w:lineRule="exact"/>
        <w:ind w:firstLineChars="200" w:firstLine="640"/>
        <w:rPr>
          <w:rFonts w:ascii="Times New Roman" w:eastAsia="仿宋_GB2312" w:hAnsi="Times New Roman" w:cs="Times New Roman"/>
          <w:sz w:val="32"/>
          <w:szCs w:val="32"/>
        </w:rPr>
      </w:pPr>
    </w:p>
    <w:p w14:paraId="216F6E3B" w14:textId="4AE485B4" w:rsidR="006159E7" w:rsidRDefault="006159E7" w:rsidP="00540B1E">
      <w:pPr>
        <w:spacing w:line="480" w:lineRule="exact"/>
        <w:ind w:firstLineChars="200" w:firstLine="640"/>
        <w:rPr>
          <w:rFonts w:ascii="Times New Roman" w:eastAsia="仿宋_GB2312" w:hAnsi="Times New Roman" w:cs="Times New Roman"/>
          <w:sz w:val="32"/>
          <w:szCs w:val="32"/>
        </w:rPr>
      </w:pPr>
    </w:p>
    <w:p w14:paraId="3BEA340A" w14:textId="22DB41D2" w:rsidR="006159E7" w:rsidRDefault="006159E7" w:rsidP="00540B1E">
      <w:pPr>
        <w:spacing w:line="480" w:lineRule="exact"/>
        <w:ind w:firstLineChars="200" w:firstLine="640"/>
        <w:rPr>
          <w:rFonts w:ascii="Times New Roman" w:eastAsia="仿宋_GB2312" w:hAnsi="Times New Roman" w:cs="Times New Roman"/>
          <w:sz w:val="32"/>
          <w:szCs w:val="32"/>
        </w:rPr>
      </w:pPr>
    </w:p>
    <w:p w14:paraId="5078D521" w14:textId="46952389" w:rsidR="006159E7" w:rsidRDefault="006159E7" w:rsidP="00540B1E">
      <w:pPr>
        <w:spacing w:line="480" w:lineRule="exact"/>
        <w:ind w:firstLineChars="200" w:firstLine="640"/>
        <w:rPr>
          <w:rFonts w:ascii="Times New Roman" w:eastAsia="仿宋_GB2312" w:hAnsi="Times New Roman" w:cs="Times New Roman"/>
          <w:sz w:val="32"/>
          <w:szCs w:val="32"/>
        </w:rPr>
      </w:pPr>
    </w:p>
    <w:p w14:paraId="30132AA3" w14:textId="57B99CD5" w:rsidR="006159E7" w:rsidRDefault="006159E7" w:rsidP="006159E7">
      <w:pPr>
        <w:spacing w:line="360" w:lineRule="auto"/>
        <w:jc w:val="center"/>
        <w:rPr>
          <w:rFonts w:ascii="Times New Roman" w:hAnsi="Times New Roman" w:cs="Times New Roman"/>
          <w:b/>
          <w:sz w:val="24"/>
          <w:szCs w:val="24"/>
        </w:rPr>
      </w:pPr>
      <w:r>
        <w:rPr>
          <w:rFonts w:ascii="Times New Roman" w:eastAsia="仿宋_GB2312" w:hAnsi="Times New Roman" w:cs="Times New Roman"/>
          <w:noProof/>
          <w:sz w:val="24"/>
          <w:szCs w:val="24"/>
        </w:rPr>
        <w:lastRenderedPageBreak/>
        <mc:AlternateContent>
          <mc:Choice Requires="wpc">
            <w:drawing>
              <wp:anchor distT="0" distB="0" distL="114300" distR="114300" simplePos="0" relativeHeight="251658240" behindDoc="0" locked="0" layoutInCell="1" allowOverlap="1" wp14:anchorId="6C657CC7" wp14:editId="3A024346">
                <wp:simplePos x="0" y="0"/>
                <wp:positionH relativeFrom="column">
                  <wp:posOffset>-12700</wp:posOffset>
                </wp:positionH>
                <wp:positionV relativeFrom="paragraph">
                  <wp:posOffset>161769</wp:posOffset>
                </wp:positionV>
                <wp:extent cx="5274310" cy="7300595"/>
                <wp:effectExtent l="0" t="0" r="21590" b="0"/>
                <wp:wrapTopAndBottom/>
                <wp:docPr id="50"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直线 54"/>
                        <wps:cNvCnPr/>
                        <wps:spPr>
                          <a:xfrm>
                            <a:off x="4862195" y="1433195"/>
                            <a:ext cx="635" cy="3173095"/>
                          </a:xfrm>
                          <a:prstGeom prst="line">
                            <a:avLst/>
                          </a:prstGeom>
                          <a:ln w="9525" cap="flat" cmpd="sng">
                            <a:solidFill>
                              <a:srgbClr val="000000"/>
                            </a:solidFill>
                            <a:prstDash val="solid"/>
                            <a:headEnd type="none" w="med" len="med"/>
                            <a:tailEnd type="none" w="med" len="med"/>
                          </a:ln>
                        </wps:spPr>
                        <wps:bodyPr/>
                      </wps:wsp>
                      <wps:wsp>
                        <wps:cNvPr id="52" name="文本框 55"/>
                        <wps:cNvSpPr txBox="1"/>
                        <wps:spPr>
                          <a:xfrm>
                            <a:off x="0" y="1169035"/>
                            <a:ext cx="1144905" cy="520700"/>
                          </a:xfrm>
                          <a:prstGeom prst="rect">
                            <a:avLst/>
                          </a:prstGeom>
                          <a:noFill/>
                          <a:ln w="9525" cap="flat" cmpd="sng">
                            <a:solidFill>
                              <a:srgbClr val="000000"/>
                            </a:solidFill>
                            <a:prstDash val="solid"/>
                            <a:miter/>
                            <a:headEnd type="none" w="med" len="med"/>
                            <a:tailEnd type="none" w="med" len="med"/>
                          </a:ln>
                        </wps:spPr>
                        <wps:txbx>
                          <w:txbxContent>
                            <w:p w14:paraId="0F1DF8E3"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开展标准编制课题研究</w:t>
                              </w:r>
                            </w:p>
                          </w:txbxContent>
                        </wps:txbx>
                        <wps:bodyPr lIns="113620" tIns="56810" rIns="113620" bIns="56810" upright="1"/>
                      </wps:wsp>
                      <wps:wsp>
                        <wps:cNvPr id="53" name="文本框 56"/>
                        <wps:cNvSpPr txBox="1"/>
                        <wps:spPr>
                          <a:xfrm>
                            <a:off x="12065" y="3375660"/>
                            <a:ext cx="1170940" cy="505460"/>
                          </a:xfrm>
                          <a:prstGeom prst="rect">
                            <a:avLst/>
                          </a:prstGeom>
                          <a:noFill/>
                          <a:ln w="9525" cap="flat" cmpd="sng">
                            <a:solidFill>
                              <a:srgbClr val="000000"/>
                            </a:solidFill>
                            <a:prstDash val="solid"/>
                            <a:miter/>
                            <a:headEnd type="none" w="med" len="med"/>
                            <a:tailEnd type="none" w="med" len="med"/>
                          </a:ln>
                        </wps:spPr>
                        <wps:txbx>
                          <w:txbxContent>
                            <w:p w14:paraId="0BE1E29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规程编立项、报批、审查</w:t>
                              </w:r>
                            </w:p>
                          </w:txbxContent>
                        </wps:txbx>
                        <wps:bodyPr lIns="113620" tIns="56810" rIns="113620" bIns="56810" upright="1"/>
                      </wps:wsp>
                      <wps:wsp>
                        <wps:cNvPr id="54" name="文本框 57"/>
                        <wps:cNvSpPr txBox="1"/>
                        <wps:spPr>
                          <a:xfrm>
                            <a:off x="0" y="4430395"/>
                            <a:ext cx="1171575" cy="351155"/>
                          </a:xfrm>
                          <a:prstGeom prst="rect">
                            <a:avLst/>
                          </a:prstGeom>
                          <a:noFill/>
                          <a:ln w="9525" cap="flat" cmpd="sng">
                            <a:solidFill>
                              <a:srgbClr val="000000"/>
                            </a:solidFill>
                            <a:prstDash val="solid"/>
                            <a:miter/>
                            <a:headEnd type="none" w="med" len="med"/>
                            <a:tailEnd type="none" w="med" len="med"/>
                          </a:ln>
                        </wps:spPr>
                        <wps:txbx>
                          <w:txbxContent>
                            <w:p w14:paraId="73BEE205"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形成标准初稿</w:t>
                              </w:r>
                            </w:p>
                            <w:p w14:paraId="7CF1BCDE"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55" name="文本框 58"/>
                        <wps:cNvSpPr txBox="1"/>
                        <wps:spPr>
                          <a:xfrm>
                            <a:off x="0" y="5368290"/>
                            <a:ext cx="1171575" cy="482600"/>
                          </a:xfrm>
                          <a:prstGeom prst="rect">
                            <a:avLst/>
                          </a:prstGeom>
                          <a:noFill/>
                          <a:ln w="9525" cap="flat" cmpd="sng">
                            <a:solidFill>
                              <a:srgbClr val="000000"/>
                            </a:solidFill>
                            <a:prstDash val="solid"/>
                            <a:miter/>
                            <a:headEnd type="none" w="med" len="med"/>
                            <a:tailEnd type="none" w="med" len="med"/>
                          </a:ln>
                        </wps:spPr>
                        <wps:txbx>
                          <w:txbxContent>
                            <w:p w14:paraId="60E795F2"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形成标准征求意见稿</w:t>
                              </w:r>
                            </w:p>
                          </w:txbxContent>
                        </wps:txbx>
                        <wps:bodyPr lIns="113620" tIns="56810" rIns="113620" bIns="56810" upright="1"/>
                      </wps:wsp>
                      <wps:wsp>
                        <wps:cNvPr id="56" name="文本框 59"/>
                        <wps:cNvSpPr txBox="1"/>
                        <wps:spPr>
                          <a:xfrm>
                            <a:off x="1874520" y="15240"/>
                            <a:ext cx="2051050" cy="499110"/>
                          </a:xfrm>
                          <a:prstGeom prst="rect">
                            <a:avLst/>
                          </a:prstGeom>
                          <a:noFill/>
                          <a:ln w="9525" cap="flat" cmpd="sng">
                            <a:solidFill>
                              <a:srgbClr val="000000"/>
                            </a:solidFill>
                            <a:prstDash val="solid"/>
                            <a:miter/>
                            <a:headEnd type="none" w="med" len="med"/>
                            <a:tailEnd type="none" w="med" len="med"/>
                          </a:ln>
                        </wps:spPr>
                        <wps:txbx>
                          <w:txbxContent>
                            <w:p w14:paraId="2F704426"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研究分析标准化文件编制的相关规定和要求</w:t>
                              </w:r>
                            </w:p>
                          </w:txbxContent>
                        </wps:txbx>
                        <wps:bodyPr lIns="113620" tIns="56810" rIns="113620" bIns="56810" upright="1"/>
                      </wps:wsp>
                      <wps:wsp>
                        <wps:cNvPr id="57" name="文本框 60"/>
                        <wps:cNvSpPr txBox="1"/>
                        <wps:spPr>
                          <a:xfrm>
                            <a:off x="1874520" y="588645"/>
                            <a:ext cx="2051050" cy="510540"/>
                          </a:xfrm>
                          <a:prstGeom prst="rect">
                            <a:avLst/>
                          </a:prstGeom>
                          <a:noFill/>
                          <a:ln w="9525" cap="flat" cmpd="sng">
                            <a:solidFill>
                              <a:srgbClr val="000000"/>
                            </a:solidFill>
                            <a:prstDash val="solid"/>
                            <a:miter/>
                            <a:headEnd type="none" w="med" len="med"/>
                            <a:tailEnd type="none" w="med" len="med"/>
                          </a:ln>
                        </wps:spPr>
                        <wps:txbx>
                          <w:txbxContent>
                            <w:p w14:paraId="00F33A7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收集分析本专业相关的工程建设的质量控制资料与事例</w:t>
                              </w:r>
                            </w:p>
                          </w:txbxContent>
                        </wps:txbx>
                        <wps:bodyPr lIns="113620" tIns="56810" rIns="113620" bIns="56810" upright="1"/>
                      </wps:wsp>
                      <wps:wsp>
                        <wps:cNvPr id="58" name="文本框 61"/>
                        <wps:cNvSpPr txBox="1"/>
                        <wps:spPr>
                          <a:xfrm>
                            <a:off x="1874520" y="1193800"/>
                            <a:ext cx="2051050" cy="489585"/>
                          </a:xfrm>
                          <a:prstGeom prst="rect">
                            <a:avLst/>
                          </a:prstGeom>
                          <a:noFill/>
                          <a:ln w="9525" cap="flat" cmpd="sng">
                            <a:solidFill>
                              <a:srgbClr val="000000"/>
                            </a:solidFill>
                            <a:prstDash val="solid"/>
                            <a:miter/>
                            <a:headEnd type="none" w="med" len="med"/>
                            <a:tailEnd type="none" w="med" len="med"/>
                          </a:ln>
                        </wps:spPr>
                        <wps:txbx>
                          <w:txbxContent>
                            <w:p w14:paraId="0E17178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研究分析相关行业质量控制的标准化文件</w:t>
                              </w:r>
                            </w:p>
                          </w:txbxContent>
                        </wps:txbx>
                        <wps:bodyPr lIns="113620" tIns="56810" rIns="113620" bIns="56810" upright="1"/>
                      </wps:wsp>
                      <wps:wsp>
                        <wps:cNvPr id="59" name="文本框 62"/>
                        <wps:cNvSpPr txBox="1"/>
                        <wps:spPr>
                          <a:xfrm>
                            <a:off x="1874520" y="1746885"/>
                            <a:ext cx="2051050" cy="413385"/>
                          </a:xfrm>
                          <a:prstGeom prst="rect">
                            <a:avLst/>
                          </a:prstGeom>
                          <a:noFill/>
                          <a:ln w="9525" cap="flat" cmpd="sng">
                            <a:solidFill>
                              <a:srgbClr val="000000"/>
                            </a:solidFill>
                            <a:prstDash val="solid"/>
                            <a:miter/>
                            <a:headEnd type="none" w="med" len="med"/>
                            <a:tailEnd type="none" w="med" len="med"/>
                          </a:ln>
                        </wps:spPr>
                        <wps:txbx>
                          <w:txbxContent>
                            <w:p w14:paraId="26EECBF9"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开展标准编制实地调研</w:t>
                              </w:r>
                            </w:p>
                          </w:txbxContent>
                        </wps:txbx>
                        <wps:bodyPr lIns="113620" tIns="56810" rIns="113620" bIns="56810" upright="1"/>
                      </wps:wsp>
                      <wps:wsp>
                        <wps:cNvPr id="60" name="文本框 63"/>
                        <wps:cNvSpPr txBox="1"/>
                        <wps:spPr>
                          <a:xfrm>
                            <a:off x="1874520" y="2269490"/>
                            <a:ext cx="2051050" cy="387985"/>
                          </a:xfrm>
                          <a:prstGeom prst="rect">
                            <a:avLst/>
                          </a:prstGeom>
                          <a:noFill/>
                          <a:ln w="9525" cap="flat" cmpd="sng">
                            <a:solidFill>
                              <a:srgbClr val="000000"/>
                            </a:solidFill>
                            <a:prstDash val="solid"/>
                            <a:miter/>
                            <a:headEnd type="none" w="med" len="med"/>
                            <a:tailEnd type="none" w="med" len="med"/>
                          </a:ln>
                        </wps:spPr>
                        <wps:txbx>
                          <w:txbxContent>
                            <w:p w14:paraId="3213CF56"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开展相关行业专题研究</w:t>
                              </w:r>
                            </w:p>
                            <w:p w14:paraId="3D05D718"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1" name="文本框 64"/>
                        <wps:cNvSpPr txBox="1"/>
                        <wps:spPr>
                          <a:xfrm>
                            <a:off x="1874520" y="3018155"/>
                            <a:ext cx="2051050" cy="368300"/>
                          </a:xfrm>
                          <a:prstGeom prst="rect">
                            <a:avLst/>
                          </a:prstGeom>
                          <a:noFill/>
                          <a:ln w="9525" cap="flat" cmpd="sng">
                            <a:solidFill>
                              <a:srgbClr val="000000"/>
                            </a:solidFill>
                            <a:prstDash val="solid"/>
                            <a:miter/>
                            <a:headEnd type="none" w="med" len="med"/>
                            <a:tailEnd type="none" w="med" len="med"/>
                          </a:ln>
                        </wps:spPr>
                        <wps:txbx>
                          <w:txbxContent>
                            <w:p w14:paraId="2419826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01AD9BDE"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2" name="文本框 65"/>
                        <wps:cNvSpPr txBox="1"/>
                        <wps:spPr>
                          <a:xfrm>
                            <a:off x="1874520" y="3535045"/>
                            <a:ext cx="2051050" cy="367665"/>
                          </a:xfrm>
                          <a:prstGeom prst="rect">
                            <a:avLst/>
                          </a:prstGeom>
                          <a:noFill/>
                          <a:ln w="9525" cap="flat" cmpd="sng">
                            <a:solidFill>
                              <a:srgbClr val="000000"/>
                            </a:solidFill>
                            <a:prstDash val="solid"/>
                            <a:miter/>
                            <a:headEnd type="none" w="med" len="med"/>
                            <a:tailEnd type="none" w="med" len="med"/>
                          </a:ln>
                        </wps:spPr>
                        <wps:txbx>
                          <w:txbxContent>
                            <w:p w14:paraId="7C414852"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全国范围征求意见</w:t>
                              </w:r>
                            </w:p>
                            <w:p w14:paraId="6F80663A"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3" name="文本框 66"/>
                        <wps:cNvSpPr txBox="1"/>
                        <wps:spPr>
                          <a:xfrm>
                            <a:off x="1874520" y="4019550"/>
                            <a:ext cx="2051050" cy="368300"/>
                          </a:xfrm>
                          <a:prstGeom prst="rect">
                            <a:avLst/>
                          </a:prstGeom>
                          <a:noFill/>
                          <a:ln w="9525" cap="flat" cmpd="sng">
                            <a:solidFill>
                              <a:srgbClr val="000000"/>
                            </a:solidFill>
                            <a:prstDash val="solid"/>
                            <a:miter/>
                            <a:headEnd type="none" w="med" len="med"/>
                            <a:tailEnd type="none" w="med" len="med"/>
                          </a:ln>
                        </wps:spPr>
                        <wps:txbx>
                          <w:txbxContent>
                            <w:p w14:paraId="2BDEBA54"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课题评审</w:t>
                              </w:r>
                            </w:p>
                            <w:p w14:paraId="1A9EFAB7"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4" name="文本框 67"/>
                        <wps:cNvSpPr txBox="1"/>
                        <wps:spPr>
                          <a:xfrm>
                            <a:off x="1874520" y="4803775"/>
                            <a:ext cx="2051050" cy="340995"/>
                          </a:xfrm>
                          <a:prstGeom prst="rect">
                            <a:avLst/>
                          </a:prstGeom>
                          <a:noFill/>
                          <a:ln w="9525" cap="flat" cmpd="sng">
                            <a:solidFill>
                              <a:srgbClr val="000000"/>
                            </a:solidFill>
                            <a:prstDash val="solid"/>
                            <a:miter/>
                            <a:headEnd type="none" w="med" len="med"/>
                            <a:tailEnd type="none" w="med" len="med"/>
                          </a:ln>
                        </wps:spPr>
                        <wps:txbx>
                          <w:txbxContent>
                            <w:p w14:paraId="6004FBEC"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w:t>
                              </w:r>
                              <w:r w:rsidRPr="003040FF">
                                <w:rPr>
                                  <w:rFonts w:ascii="Arial" w:hAnsi="Arial" w:cs="宋体" w:hint="eastAsia"/>
                                  <w:color w:val="000000"/>
                                  <w:szCs w:val="21"/>
                                  <w:highlight w:val="yellow"/>
                                  <w:lang w:val="zh-CN"/>
                                </w:rPr>
                                <w:t>讨论</w:t>
                              </w:r>
                            </w:p>
                            <w:p w14:paraId="3A41647A"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5" name="文本框 68"/>
                        <wps:cNvSpPr txBox="1"/>
                        <wps:spPr>
                          <a:xfrm>
                            <a:off x="1869440" y="5285740"/>
                            <a:ext cx="2051050" cy="544830"/>
                          </a:xfrm>
                          <a:prstGeom prst="rect">
                            <a:avLst/>
                          </a:prstGeom>
                          <a:noFill/>
                          <a:ln w="9525" cap="flat" cmpd="sng">
                            <a:solidFill>
                              <a:srgbClr val="000000"/>
                            </a:solidFill>
                            <a:prstDash val="solid"/>
                            <a:miter/>
                            <a:headEnd type="none" w="med" len="med"/>
                            <a:tailEnd type="none" w="med" len="med"/>
                          </a:ln>
                        </wps:spPr>
                        <wps:txbx>
                          <w:txbxContent>
                            <w:p w14:paraId="79B86AB1"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企业、科研、教学、管理部门等相关单位广泛征求意见</w:t>
                              </w:r>
                            </w:p>
                            <w:p w14:paraId="32E2085B"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6" name="文本框 69"/>
                        <wps:cNvSpPr txBox="1"/>
                        <wps:spPr>
                          <a:xfrm>
                            <a:off x="1874520" y="6187440"/>
                            <a:ext cx="2051050" cy="368300"/>
                          </a:xfrm>
                          <a:prstGeom prst="rect">
                            <a:avLst/>
                          </a:prstGeom>
                          <a:noFill/>
                          <a:ln w="9525" cap="flat" cmpd="sng">
                            <a:solidFill>
                              <a:srgbClr val="000000"/>
                            </a:solidFill>
                            <a:prstDash val="solid"/>
                            <a:miter/>
                            <a:headEnd type="none" w="med" len="med"/>
                            <a:tailEnd type="none" w="med" len="med"/>
                          </a:ln>
                        </wps:spPr>
                        <wps:txbx>
                          <w:txbxContent>
                            <w:p w14:paraId="24674ED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形成规程送审稿</w:t>
                              </w:r>
                            </w:p>
                            <w:p w14:paraId="2A498340"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7" name="文本框 70"/>
                        <wps:cNvSpPr txBox="1"/>
                        <wps:spPr>
                          <a:xfrm>
                            <a:off x="1874520" y="6913245"/>
                            <a:ext cx="2051050" cy="344170"/>
                          </a:xfrm>
                          <a:prstGeom prst="rect">
                            <a:avLst/>
                          </a:prstGeom>
                          <a:noFill/>
                          <a:ln w="9525" cap="flat" cmpd="sng">
                            <a:solidFill>
                              <a:srgbClr val="000000"/>
                            </a:solidFill>
                            <a:prstDash val="solid"/>
                            <a:miter/>
                            <a:headEnd type="none" w="med" len="med"/>
                            <a:tailEnd type="none" w="med" len="med"/>
                          </a:ln>
                        </wps:spPr>
                        <wps:txbx>
                          <w:txbxContent>
                            <w:p w14:paraId="613CF79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形成标准报批稿</w:t>
                              </w:r>
                            </w:p>
                            <w:p w14:paraId="7AF3C87A"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8" name="文本框 71"/>
                        <wps:cNvSpPr txBox="1"/>
                        <wps:spPr>
                          <a:xfrm>
                            <a:off x="4452620" y="2672715"/>
                            <a:ext cx="821690" cy="3549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5EE1FC"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编制标准</w:t>
                              </w:r>
                            </w:p>
                            <w:p w14:paraId="54106F84"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69" name="直线 72"/>
                        <wps:cNvCnPr/>
                        <wps:spPr>
                          <a:xfrm>
                            <a:off x="1150620" y="1434465"/>
                            <a:ext cx="313690" cy="635"/>
                          </a:xfrm>
                          <a:prstGeom prst="line">
                            <a:avLst/>
                          </a:prstGeom>
                          <a:ln w="9525" cap="flat" cmpd="sng">
                            <a:solidFill>
                              <a:srgbClr val="000000"/>
                            </a:solidFill>
                            <a:prstDash val="solid"/>
                            <a:headEnd type="none" w="med" len="med"/>
                            <a:tailEnd type="triangle" w="med" len="med"/>
                          </a:ln>
                        </wps:spPr>
                        <wps:bodyPr/>
                      </wps:wsp>
                      <wpg:wgp>
                        <wpg:cNvPr id="70" name="组合 73"/>
                        <wpg:cNvGrpSpPr/>
                        <wpg:grpSpPr>
                          <a:xfrm>
                            <a:off x="1464310" y="260350"/>
                            <a:ext cx="410210" cy="2199005"/>
                            <a:chOff x="1248" y="465"/>
                            <a:chExt cx="317" cy="1724"/>
                          </a:xfrm>
                        </wpg:grpSpPr>
                        <wps:wsp>
                          <wps:cNvPr id="71" name="直线 74"/>
                          <wps:cNvCnPr/>
                          <wps:spPr>
                            <a:xfrm>
                              <a:off x="1248" y="465"/>
                              <a:ext cx="0" cy="1723"/>
                            </a:xfrm>
                            <a:prstGeom prst="line">
                              <a:avLst/>
                            </a:prstGeom>
                            <a:ln w="9525" cap="flat" cmpd="sng">
                              <a:solidFill>
                                <a:srgbClr val="000000"/>
                              </a:solidFill>
                              <a:prstDash val="solid"/>
                              <a:headEnd type="none" w="med" len="med"/>
                              <a:tailEnd type="none" w="med" len="med"/>
                            </a:ln>
                          </wps:spPr>
                          <wps:bodyPr/>
                        </wps:wsp>
                        <wps:wsp>
                          <wps:cNvPr id="72" name="直线 75"/>
                          <wps:cNvCnPr/>
                          <wps:spPr>
                            <a:xfrm>
                              <a:off x="1248" y="465"/>
                              <a:ext cx="317" cy="0"/>
                            </a:xfrm>
                            <a:prstGeom prst="line">
                              <a:avLst/>
                            </a:prstGeom>
                            <a:ln w="9525" cap="flat" cmpd="sng">
                              <a:solidFill>
                                <a:srgbClr val="000000"/>
                              </a:solidFill>
                              <a:prstDash val="solid"/>
                              <a:headEnd type="none" w="med" len="med"/>
                              <a:tailEnd type="none" w="med" len="med"/>
                            </a:ln>
                          </wps:spPr>
                          <wps:bodyPr/>
                        </wps:wsp>
                        <wps:wsp>
                          <wps:cNvPr id="73" name="直线 76"/>
                          <wps:cNvCnPr/>
                          <wps:spPr>
                            <a:xfrm>
                              <a:off x="1248" y="1780"/>
                              <a:ext cx="317" cy="0"/>
                            </a:xfrm>
                            <a:prstGeom prst="line">
                              <a:avLst/>
                            </a:prstGeom>
                            <a:ln w="9525" cap="flat" cmpd="sng">
                              <a:solidFill>
                                <a:srgbClr val="000000"/>
                              </a:solidFill>
                              <a:prstDash val="solid"/>
                              <a:headEnd type="none" w="med" len="med"/>
                              <a:tailEnd type="none" w="med" len="med"/>
                            </a:ln>
                          </wps:spPr>
                          <wps:bodyPr/>
                        </wps:wsp>
                        <wps:wsp>
                          <wps:cNvPr id="74" name="直线 77"/>
                          <wps:cNvCnPr/>
                          <wps:spPr>
                            <a:xfrm>
                              <a:off x="1248" y="919"/>
                              <a:ext cx="317" cy="0"/>
                            </a:xfrm>
                            <a:prstGeom prst="line">
                              <a:avLst/>
                            </a:prstGeom>
                            <a:ln w="9525" cap="flat" cmpd="sng">
                              <a:solidFill>
                                <a:srgbClr val="000000"/>
                              </a:solidFill>
                              <a:prstDash val="solid"/>
                              <a:headEnd type="none" w="med" len="med"/>
                              <a:tailEnd type="none" w="med" len="med"/>
                            </a:ln>
                          </wps:spPr>
                          <wps:bodyPr/>
                        </wps:wsp>
                        <wps:wsp>
                          <wps:cNvPr id="75" name="直线 78"/>
                          <wps:cNvCnPr/>
                          <wps:spPr>
                            <a:xfrm>
                              <a:off x="1248" y="2189"/>
                              <a:ext cx="317" cy="0"/>
                            </a:xfrm>
                            <a:prstGeom prst="line">
                              <a:avLst/>
                            </a:prstGeom>
                            <a:ln w="9525" cap="flat" cmpd="sng">
                              <a:solidFill>
                                <a:srgbClr val="000000"/>
                              </a:solidFill>
                              <a:prstDash val="solid"/>
                              <a:headEnd type="none" w="med" len="med"/>
                              <a:tailEnd type="none" w="med" len="med"/>
                            </a:ln>
                          </wps:spPr>
                          <wps:bodyPr/>
                        </wps:wsp>
                      </wpg:wgp>
                      <wpg:wgp>
                        <wpg:cNvPr id="76" name="组合 79"/>
                        <wpg:cNvGrpSpPr/>
                        <wpg:grpSpPr>
                          <a:xfrm flipH="1">
                            <a:off x="3925570" y="280670"/>
                            <a:ext cx="411480" cy="2193290"/>
                            <a:chOff x="1248" y="465"/>
                            <a:chExt cx="317" cy="1724"/>
                          </a:xfrm>
                        </wpg:grpSpPr>
                        <wps:wsp>
                          <wps:cNvPr id="77" name="直线 80"/>
                          <wps:cNvCnPr/>
                          <wps:spPr>
                            <a:xfrm>
                              <a:off x="1248" y="465"/>
                              <a:ext cx="0" cy="1723"/>
                            </a:xfrm>
                            <a:prstGeom prst="line">
                              <a:avLst/>
                            </a:prstGeom>
                            <a:ln w="9525" cap="flat" cmpd="sng">
                              <a:solidFill>
                                <a:srgbClr val="000000"/>
                              </a:solidFill>
                              <a:prstDash val="solid"/>
                              <a:headEnd type="none" w="med" len="med"/>
                              <a:tailEnd type="none" w="med" len="med"/>
                            </a:ln>
                          </wps:spPr>
                          <wps:bodyPr/>
                        </wps:wsp>
                        <wps:wsp>
                          <wps:cNvPr id="78" name="直线 81"/>
                          <wps:cNvCnPr/>
                          <wps:spPr>
                            <a:xfrm>
                              <a:off x="1248" y="465"/>
                              <a:ext cx="317" cy="0"/>
                            </a:xfrm>
                            <a:prstGeom prst="line">
                              <a:avLst/>
                            </a:prstGeom>
                            <a:ln w="9525" cap="flat" cmpd="sng">
                              <a:solidFill>
                                <a:srgbClr val="000000"/>
                              </a:solidFill>
                              <a:prstDash val="solid"/>
                              <a:headEnd type="none" w="med" len="med"/>
                              <a:tailEnd type="none" w="med" len="med"/>
                            </a:ln>
                          </wps:spPr>
                          <wps:bodyPr/>
                        </wps:wsp>
                        <wps:wsp>
                          <wps:cNvPr id="79" name="直线 82"/>
                          <wps:cNvCnPr/>
                          <wps:spPr>
                            <a:xfrm>
                              <a:off x="1248" y="1780"/>
                              <a:ext cx="317" cy="0"/>
                            </a:xfrm>
                            <a:prstGeom prst="line">
                              <a:avLst/>
                            </a:prstGeom>
                            <a:ln w="9525" cap="flat" cmpd="sng">
                              <a:solidFill>
                                <a:srgbClr val="000000"/>
                              </a:solidFill>
                              <a:prstDash val="solid"/>
                              <a:headEnd type="none" w="med" len="med"/>
                              <a:tailEnd type="none" w="med" len="med"/>
                            </a:ln>
                          </wps:spPr>
                          <wps:bodyPr/>
                        </wps:wsp>
                        <wps:wsp>
                          <wps:cNvPr id="80" name="直线 83"/>
                          <wps:cNvCnPr/>
                          <wps:spPr>
                            <a:xfrm>
                              <a:off x="1248" y="919"/>
                              <a:ext cx="317" cy="0"/>
                            </a:xfrm>
                            <a:prstGeom prst="line">
                              <a:avLst/>
                            </a:prstGeom>
                            <a:ln w="9525" cap="flat" cmpd="sng">
                              <a:solidFill>
                                <a:srgbClr val="000000"/>
                              </a:solidFill>
                              <a:prstDash val="solid"/>
                              <a:headEnd type="none" w="med" len="med"/>
                              <a:tailEnd type="none" w="med" len="med"/>
                            </a:ln>
                          </wps:spPr>
                          <wps:bodyPr/>
                        </wps:wsp>
                        <wps:wsp>
                          <wps:cNvPr id="81" name="直线 84"/>
                          <wps:cNvCnPr/>
                          <wps:spPr>
                            <a:xfrm>
                              <a:off x="1248" y="2189"/>
                              <a:ext cx="317" cy="0"/>
                            </a:xfrm>
                            <a:prstGeom prst="line">
                              <a:avLst/>
                            </a:prstGeom>
                            <a:ln w="9525" cap="flat" cmpd="sng">
                              <a:solidFill>
                                <a:srgbClr val="000000"/>
                              </a:solidFill>
                              <a:prstDash val="solid"/>
                              <a:headEnd type="none" w="med" len="med"/>
                              <a:tailEnd type="none" w="med" len="med"/>
                            </a:ln>
                          </wps:spPr>
                          <wps:bodyPr/>
                        </wps:wsp>
                      </wpg:wgp>
                      <wps:wsp>
                        <wps:cNvPr id="82" name="直线 85"/>
                        <wps:cNvCnPr/>
                        <wps:spPr>
                          <a:xfrm>
                            <a:off x="3919855" y="1438910"/>
                            <a:ext cx="936625" cy="0"/>
                          </a:xfrm>
                          <a:prstGeom prst="line">
                            <a:avLst/>
                          </a:prstGeom>
                          <a:ln w="9525" cap="flat" cmpd="sng">
                            <a:solidFill>
                              <a:srgbClr val="000000"/>
                            </a:solidFill>
                            <a:prstDash val="solid"/>
                            <a:headEnd type="none" w="med" len="med"/>
                            <a:tailEnd type="none" w="med" len="med"/>
                          </a:ln>
                        </wps:spPr>
                        <wps:bodyPr/>
                      </wps:wsp>
                      <wps:wsp>
                        <wps:cNvPr id="83" name="直线 86"/>
                        <wps:cNvCnPr/>
                        <wps:spPr>
                          <a:xfrm>
                            <a:off x="1171575" y="4606290"/>
                            <a:ext cx="3690620" cy="0"/>
                          </a:xfrm>
                          <a:prstGeom prst="line">
                            <a:avLst/>
                          </a:prstGeom>
                          <a:ln w="9525" cap="flat" cmpd="sng">
                            <a:solidFill>
                              <a:srgbClr val="000000"/>
                            </a:solidFill>
                            <a:prstDash val="solid"/>
                            <a:headEnd type="triangle" w="med" len="med"/>
                            <a:tailEnd type="none" w="med" len="med"/>
                          </a:ln>
                        </wps:spPr>
                        <wps:bodyPr/>
                      </wps:wsp>
                      <wps:wsp>
                        <wps:cNvPr id="84" name="直线 87"/>
                        <wps:cNvCnPr/>
                        <wps:spPr>
                          <a:xfrm flipH="1">
                            <a:off x="4335145" y="3199765"/>
                            <a:ext cx="0" cy="995680"/>
                          </a:xfrm>
                          <a:prstGeom prst="line">
                            <a:avLst/>
                          </a:prstGeom>
                          <a:ln w="9525" cap="flat" cmpd="sng">
                            <a:solidFill>
                              <a:srgbClr val="000000"/>
                            </a:solidFill>
                            <a:prstDash val="solid"/>
                            <a:headEnd type="none" w="med" len="med"/>
                            <a:tailEnd type="none" w="med" len="med"/>
                          </a:ln>
                        </wps:spPr>
                        <wps:bodyPr/>
                      </wps:wsp>
                      <wps:wsp>
                        <wps:cNvPr id="85" name="直线 88"/>
                        <wps:cNvCnPr/>
                        <wps:spPr>
                          <a:xfrm flipH="1">
                            <a:off x="3925570" y="3199765"/>
                            <a:ext cx="411480" cy="0"/>
                          </a:xfrm>
                          <a:prstGeom prst="line">
                            <a:avLst/>
                          </a:prstGeom>
                          <a:ln w="9525" cap="flat" cmpd="sng">
                            <a:solidFill>
                              <a:srgbClr val="000000"/>
                            </a:solidFill>
                            <a:prstDash val="solid"/>
                            <a:headEnd type="none" w="med" len="med"/>
                            <a:tailEnd type="none" w="med" len="med"/>
                          </a:ln>
                        </wps:spPr>
                        <wps:bodyPr/>
                      </wps:wsp>
                      <wps:wsp>
                        <wps:cNvPr id="86" name="直线 89"/>
                        <wps:cNvCnPr/>
                        <wps:spPr>
                          <a:xfrm flipH="1">
                            <a:off x="3925570" y="4195445"/>
                            <a:ext cx="411480" cy="0"/>
                          </a:xfrm>
                          <a:prstGeom prst="line">
                            <a:avLst/>
                          </a:prstGeom>
                          <a:ln w="9525" cap="flat" cmpd="sng">
                            <a:solidFill>
                              <a:srgbClr val="000000"/>
                            </a:solidFill>
                            <a:prstDash val="solid"/>
                            <a:headEnd type="none" w="med" len="med"/>
                            <a:tailEnd type="none" w="med" len="med"/>
                          </a:ln>
                        </wps:spPr>
                        <wps:bodyPr/>
                      </wps:wsp>
                      <wps:wsp>
                        <wps:cNvPr id="87" name="直线 90"/>
                        <wps:cNvCnPr/>
                        <wps:spPr>
                          <a:xfrm flipH="1">
                            <a:off x="3925570" y="3726815"/>
                            <a:ext cx="936625" cy="0"/>
                          </a:xfrm>
                          <a:prstGeom prst="line">
                            <a:avLst/>
                          </a:prstGeom>
                          <a:ln w="9525" cap="flat" cmpd="sng">
                            <a:solidFill>
                              <a:srgbClr val="000000"/>
                            </a:solidFill>
                            <a:prstDash val="solid"/>
                            <a:headEnd type="triangle" w="med" len="med"/>
                            <a:tailEnd type="none" w="med" len="med"/>
                          </a:ln>
                        </wps:spPr>
                        <wps:bodyPr/>
                      </wps:wsp>
                      <wps:wsp>
                        <wps:cNvPr id="88" name="直线 91"/>
                        <wps:cNvCnPr/>
                        <wps:spPr>
                          <a:xfrm flipH="1">
                            <a:off x="1463675" y="1439545"/>
                            <a:ext cx="410845" cy="0"/>
                          </a:xfrm>
                          <a:prstGeom prst="line">
                            <a:avLst/>
                          </a:prstGeom>
                          <a:ln w="9525" cap="flat" cmpd="sng">
                            <a:solidFill>
                              <a:srgbClr val="000000"/>
                            </a:solidFill>
                            <a:prstDash val="solid"/>
                            <a:headEnd type="none" w="med" len="med"/>
                            <a:tailEnd type="none" w="med" len="med"/>
                          </a:ln>
                        </wps:spPr>
                        <wps:bodyPr/>
                      </wps:wsp>
                      <wps:wsp>
                        <wps:cNvPr id="89" name="直线 92"/>
                        <wps:cNvCnPr/>
                        <wps:spPr>
                          <a:xfrm>
                            <a:off x="2905760" y="5836285"/>
                            <a:ext cx="0" cy="351155"/>
                          </a:xfrm>
                          <a:prstGeom prst="line">
                            <a:avLst/>
                          </a:prstGeom>
                          <a:ln w="9525" cap="flat" cmpd="sng">
                            <a:solidFill>
                              <a:srgbClr val="000000"/>
                            </a:solidFill>
                            <a:prstDash val="solid"/>
                            <a:headEnd type="none" w="med" len="med"/>
                            <a:tailEnd type="triangle" w="med" len="med"/>
                          </a:ln>
                        </wps:spPr>
                        <wps:bodyPr/>
                      </wps:wsp>
                      <wps:wsp>
                        <wps:cNvPr id="90" name="直线 93"/>
                        <wps:cNvCnPr/>
                        <wps:spPr>
                          <a:xfrm>
                            <a:off x="2890520" y="6558280"/>
                            <a:ext cx="635" cy="367030"/>
                          </a:xfrm>
                          <a:prstGeom prst="line">
                            <a:avLst/>
                          </a:prstGeom>
                          <a:ln w="9525" cap="flat" cmpd="sng">
                            <a:solidFill>
                              <a:srgbClr val="000000"/>
                            </a:solidFill>
                            <a:prstDash val="solid"/>
                            <a:headEnd type="none" w="med" len="med"/>
                            <a:tailEnd type="triangle" w="med" len="med"/>
                          </a:ln>
                        </wps:spPr>
                        <wps:bodyPr/>
                      </wps:wsp>
                      <wps:wsp>
                        <wps:cNvPr id="91" name="直线 94"/>
                        <wps:cNvCnPr/>
                        <wps:spPr>
                          <a:xfrm>
                            <a:off x="585470" y="1694180"/>
                            <a:ext cx="635" cy="1681480"/>
                          </a:xfrm>
                          <a:prstGeom prst="line">
                            <a:avLst/>
                          </a:prstGeom>
                          <a:ln w="9525" cap="flat" cmpd="sng">
                            <a:solidFill>
                              <a:srgbClr val="000000"/>
                            </a:solidFill>
                            <a:prstDash val="solid"/>
                            <a:headEnd type="none" w="med" len="med"/>
                            <a:tailEnd type="triangle" w="med" len="med"/>
                          </a:ln>
                        </wps:spPr>
                        <wps:bodyPr/>
                      </wps:wsp>
                      <wps:wsp>
                        <wps:cNvPr id="92" name="直线 95"/>
                        <wps:cNvCnPr/>
                        <wps:spPr>
                          <a:xfrm>
                            <a:off x="585470" y="3881755"/>
                            <a:ext cx="635" cy="556260"/>
                          </a:xfrm>
                          <a:prstGeom prst="line">
                            <a:avLst/>
                          </a:prstGeom>
                          <a:ln w="9525" cap="flat" cmpd="sng">
                            <a:solidFill>
                              <a:srgbClr val="000000"/>
                            </a:solidFill>
                            <a:prstDash val="solid"/>
                            <a:headEnd type="none" w="med" len="med"/>
                            <a:tailEnd type="triangle" w="med" len="med"/>
                          </a:ln>
                        </wps:spPr>
                        <wps:bodyPr/>
                      </wps:wsp>
                      <wps:wsp>
                        <wps:cNvPr id="93" name="直线 96"/>
                        <wps:cNvCnPr/>
                        <wps:spPr>
                          <a:xfrm>
                            <a:off x="585470" y="4780915"/>
                            <a:ext cx="0" cy="586105"/>
                          </a:xfrm>
                          <a:prstGeom prst="line">
                            <a:avLst/>
                          </a:prstGeom>
                          <a:ln w="9525" cap="flat" cmpd="sng">
                            <a:solidFill>
                              <a:srgbClr val="000000"/>
                            </a:solidFill>
                            <a:prstDash val="solid"/>
                            <a:headEnd type="none" w="med" len="med"/>
                            <a:tailEnd type="triangle" w="med" len="med"/>
                          </a:ln>
                        </wps:spPr>
                        <wps:bodyPr/>
                      </wps:wsp>
                      <wps:wsp>
                        <wps:cNvPr id="94" name="直线 97"/>
                        <wps:cNvCnPr/>
                        <wps:spPr>
                          <a:xfrm flipH="1">
                            <a:off x="585470" y="4969510"/>
                            <a:ext cx="1289050" cy="0"/>
                          </a:xfrm>
                          <a:prstGeom prst="line">
                            <a:avLst/>
                          </a:prstGeom>
                          <a:ln w="9525" cap="flat" cmpd="sng">
                            <a:solidFill>
                              <a:srgbClr val="000000"/>
                            </a:solidFill>
                            <a:prstDash val="solid"/>
                            <a:headEnd type="none" w="med" len="med"/>
                            <a:tailEnd type="triangle" w="med" len="med"/>
                          </a:ln>
                        </wps:spPr>
                        <wps:bodyPr/>
                      </wps:wsp>
                      <wps:wsp>
                        <wps:cNvPr id="95" name="直线 98"/>
                        <wps:cNvCnPr/>
                        <wps:spPr>
                          <a:xfrm>
                            <a:off x="585470" y="5857875"/>
                            <a:ext cx="635" cy="153670"/>
                          </a:xfrm>
                          <a:prstGeom prst="line">
                            <a:avLst/>
                          </a:prstGeom>
                          <a:ln w="9525" cap="flat" cmpd="sng">
                            <a:solidFill>
                              <a:srgbClr val="000000"/>
                            </a:solidFill>
                            <a:prstDash val="solid"/>
                            <a:headEnd type="none" w="med" len="med"/>
                            <a:tailEnd type="none" w="med" len="med"/>
                          </a:ln>
                        </wps:spPr>
                        <wps:bodyPr/>
                      </wps:wsp>
                      <wps:wsp>
                        <wps:cNvPr id="96" name="直线 99"/>
                        <wps:cNvCnPr/>
                        <wps:spPr>
                          <a:xfrm>
                            <a:off x="585470" y="6011545"/>
                            <a:ext cx="2328545" cy="635"/>
                          </a:xfrm>
                          <a:prstGeom prst="line">
                            <a:avLst/>
                          </a:prstGeom>
                          <a:ln w="9525" cap="flat" cmpd="sng">
                            <a:solidFill>
                              <a:srgbClr val="000000"/>
                            </a:solidFill>
                            <a:prstDash val="solid"/>
                            <a:headEnd type="none" w="med" len="med"/>
                            <a:tailEnd type="triangle" w="med" len="med"/>
                          </a:ln>
                        </wps:spPr>
                        <wps:bodyPr/>
                      </wps:wsp>
                      <wps:wsp>
                        <wps:cNvPr id="97" name="文本框 100"/>
                        <wps:cNvSpPr txBox="1"/>
                        <wps:spPr>
                          <a:xfrm>
                            <a:off x="4237990" y="6426835"/>
                            <a:ext cx="821055" cy="5607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92F53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主管部门评审</w:t>
                              </w:r>
                            </w:p>
                            <w:p w14:paraId="41D720A4" w14:textId="77777777" w:rsidR="006159E7" w:rsidRDefault="006159E7" w:rsidP="006159E7">
                              <w:pPr>
                                <w:autoSpaceDE w:val="0"/>
                                <w:autoSpaceDN w:val="0"/>
                                <w:adjustRightInd w:val="0"/>
                                <w:jc w:val="center"/>
                                <w:rPr>
                                  <w:rFonts w:ascii="Arial" w:hAnsi="Arial" w:cs="宋体"/>
                                  <w:color w:val="000000"/>
                                  <w:szCs w:val="21"/>
                                  <w:lang w:val="zh-CN"/>
                                </w:rPr>
                              </w:pPr>
                            </w:p>
                          </w:txbxContent>
                        </wps:txbx>
                        <wps:bodyPr lIns="113620" tIns="56810" rIns="113620" bIns="56810" upright="1"/>
                      </wps:wsp>
                      <wps:wsp>
                        <wps:cNvPr id="98" name="直线 101"/>
                        <wps:cNvCnPr/>
                        <wps:spPr>
                          <a:xfrm flipH="1">
                            <a:off x="2895600" y="6715760"/>
                            <a:ext cx="1347470" cy="0"/>
                          </a:xfrm>
                          <a:prstGeom prst="line">
                            <a:avLst/>
                          </a:prstGeom>
                          <a:ln w="9525" cap="flat" cmpd="sng">
                            <a:solidFill>
                              <a:srgbClr val="000000"/>
                            </a:solidFill>
                            <a:prstDash val="solid"/>
                            <a:headEnd type="none" w="med" len="med"/>
                            <a:tailEnd type="triangle" w="med" len="med"/>
                          </a:ln>
                        </wps:spPr>
                        <wps:bodyPr/>
                      </wps:wsp>
                    </wpc:wpc>
                  </a:graphicData>
                </a:graphic>
              </wp:anchor>
            </w:drawing>
          </mc:Choice>
          <mc:Fallback>
            <w:pict>
              <v:group w14:anchorId="6C657CC7" id="画布 52" o:spid="_x0000_s1026" editas="canvas" style="position:absolute;left:0;text-align:left;margin-left:-1pt;margin-top:12.75pt;width:415.3pt;height:574.85pt;z-index:251658240" coordsize="52743,73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73005;visibility:visible;mso-wrap-style:square">
                  <v:fill o:detectmouseclick="t"/>
                  <v:path o:connecttype="none"/>
                </v:shape>
                <v:line id="直线 54" o:spid="_x0000_s1028" style="position:absolute;visibility:visible;mso-wrap-style:square" from="48621,14331" to="48628,46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shapetype id="_x0000_t202" coordsize="21600,21600" o:spt="202" path="m,l,21600r21600,l21600,xe">
                  <v:stroke joinstyle="miter"/>
                  <v:path gradientshapeok="t" o:connecttype="rect"/>
                </v:shapetype>
                <v:shape id="文本框 55" o:spid="_x0000_s1029" type="#_x0000_t202" style="position:absolute;top:11690;width:11449;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" filled="f">
                  <v:textbox inset="3.15611mm,1.57806mm,3.15611mm,1.57806mm">
                    <w:txbxContent>
                      <w:p w14:paraId="0F1DF8E3"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开展标准编制课题研究</w:t>
                        </w:r>
                      </w:p>
                    </w:txbxContent>
                  </v:textbox>
                </v:shape>
                <v:shape id="文本框 56" o:spid="_x0000_s1030" type="#_x0000_t202" style="position:absolute;left:120;top:33756;width:11710;height:5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" filled="f">
                  <v:textbox inset="3.15611mm,1.57806mm,3.15611mm,1.57806mm">
                    <w:txbxContent>
                      <w:p w14:paraId="0BE1E29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规程编立项、报批、审查</w:t>
                        </w:r>
                      </w:p>
                    </w:txbxContent>
                  </v:textbox>
                </v:shape>
                <v:shape id="文本框 57" o:spid="_x0000_s1031" type="#_x0000_t202" style="position:absolute;top:44303;width:11715;height:3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" filled="f">
                  <v:textbox inset="3.15611mm,1.57806mm,3.15611mm,1.57806mm">
                    <w:txbxContent>
                      <w:p w14:paraId="73BEE205"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形成标准初稿</w:t>
                        </w:r>
                      </w:p>
                      <w:p w14:paraId="7CF1BCDE"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58" o:spid="_x0000_s1032" type="#_x0000_t202" style="position:absolute;top:53682;width:11715;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" filled="f">
                  <v:textbox inset="3.15611mm,1.57806mm,3.15611mm,1.57806mm">
                    <w:txbxContent>
                      <w:p w14:paraId="60E795F2"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形成标准征求意见稿</w:t>
                        </w:r>
                      </w:p>
                    </w:txbxContent>
                  </v:textbox>
                </v:shape>
                <v:shape id="文本框 59" o:spid="_x0000_s1033" type="#_x0000_t202" style="position:absolute;left:18745;top:152;width:20510;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" filled="f">
                  <v:textbox inset="3.15611mm,1.57806mm,3.15611mm,1.57806mm">
                    <w:txbxContent>
                      <w:p w14:paraId="2F704426"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研究分析标准化文件编制的相关规定和要求</w:t>
                        </w:r>
                      </w:p>
                    </w:txbxContent>
                  </v:textbox>
                </v:shape>
                <v:shape id="文本框 60" o:spid="_x0000_s1034" type="#_x0000_t202" style="position:absolute;left:18745;top:5886;width:20510;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" filled="f">
                  <v:textbox inset="3.15611mm,1.57806mm,3.15611mm,1.57806mm">
                    <w:txbxContent>
                      <w:p w14:paraId="00F33A7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收集分析本专业相关的工程建设的质量控制资料与事例</w:t>
                        </w:r>
                      </w:p>
                    </w:txbxContent>
                  </v:textbox>
                </v:shape>
                <v:shape id="文本框 61" o:spid="_x0000_s1035" type="#_x0000_t202" style="position:absolute;left:18745;top:11938;width:20510;height:4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" filled="f">
                  <v:textbox inset="3.15611mm,1.57806mm,3.15611mm,1.57806mm">
                    <w:txbxContent>
                      <w:p w14:paraId="0E17178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研究分析相关行业质量控制的标准化文件</w:t>
                        </w:r>
                      </w:p>
                    </w:txbxContent>
                  </v:textbox>
                </v:shape>
                <v:shape id="文本框 62" o:spid="_x0000_s1036" type="#_x0000_t202" style="position:absolute;left:18745;top:17468;width:20510;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" filled="f">
                  <v:textbox inset="3.15611mm,1.57806mm,3.15611mm,1.57806mm">
                    <w:txbxContent>
                      <w:p w14:paraId="26EECBF9"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开展标准编制实地调研</w:t>
                        </w:r>
                      </w:p>
                    </w:txbxContent>
                  </v:textbox>
                </v:shape>
                <v:shape id="文本框 63" o:spid="_x0000_s1037" type="#_x0000_t202" style="position:absolute;left:18745;top:22694;width:20510;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" filled="f">
                  <v:textbox inset="3.15611mm,1.57806mm,3.15611mm,1.57806mm">
                    <w:txbxContent>
                      <w:p w14:paraId="3213CF56"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开展相关行业专题研究</w:t>
                        </w:r>
                      </w:p>
                      <w:p w14:paraId="3D05D718"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4" o:spid="_x0000_s1038" type="#_x0000_t202" style="position:absolute;left:18745;top:30181;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" filled="f">
                  <v:textbox inset="3.15611mm,1.57806mm,3.15611mm,1.57806mm">
                    <w:txbxContent>
                      <w:p w14:paraId="2419826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专家讨论</w:t>
                        </w:r>
                      </w:p>
                      <w:p w14:paraId="01AD9BDE"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5" o:spid="_x0000_s1039" type="#_x0000_t202" style="position:absolute;left:18745;top:35350;width:20510;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" filled="f">
                  <v:textbox inset="3.15611mm,1.57806mm,3.15611mm,1.57806mm">
                    <w:txbxContent>
                      <w:p w14:paraId="7C414852"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全国范围征求意见</w:t>
                        </w:r>
                      </w:p>
                      <w:p w14:paraId="6F80663A"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6" o:spid="_x0000_s1040" type="#_x0000_t202" style="position:absolute;left:18745;top:40195;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PuewwAAANsAAAAPAAAAZHJzL2Rvd25yZXYueG1sRI9Ra8Iw&#10;FIXfB/sP4Qq+jJnOQR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t9T7nsMAAADbAAAADwAA&#10;AAAAAAAAAAAAAAAHAgAAZHJzL2Rvd25yZXYueG1sUEsFBgAAAAADAAMAtwAAAPcCAAAAAA==&#10;" filled="f">
                  <v:textbox inset="3.15611mm,1.57806mm,3.15611mm,1.57806mm">
                    <w:txbxContent>
                      <w:p w14:paraId="2BDEBA54"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课题评审</w:t>
                        </w:r>
                      </w:p>
                      <w:p w14:paraId="1A9EFAB7"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7" o:spid="_x0000_s1041" type="#_x0000_t202" style="position:absolute;left:18745;top:48037;width:20510;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WPqwwAAANsAAAAPAAAAZHJzL2Rvd25yZXYueG1sRI9Ra8Iw&#10;FIXfB/sP4Qq+jJlORh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OD1j6sMAAADbAAAADwAA&#10;AAAAAAAAAAAAAAAHAgAAZHJzL2Rvd25yZXYueG1sUEsFBgAAAAADAAMAtwAAAPcCAAAAAA==&#10;" filled="f">
                  <v:textbox inset="3.15611mm,1.57806mm,3.15611mm,1.57806mm">
                    <w:txbxContent>
                      <w:p w14:paraId="6004FBEC"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专家</w:t>
                        </w:r>
                        <w:r w:rsidRPr="003040FF">
                          <w:rPr>
                            <w:rFonts w:ascii="Arial" w:hAnsi="Arial" w:cs="宋体" w:hint="eastAsia"/>
                            <w:color w:val="000000"/>
                            <w:szCs w:val="21"/>
                            <w:highlight w:val="yellow"/>
                            <w:lang w:val="zh-CN"/>
                          </w:rPr>
                          <w:t>讨论</w:t>
                        </w:r>
                      </w:p>
                      <w:p w14:paraId="3A41647A"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8" o:spid="_x0000_s1042" type="#_x0000_t202" style="position:absolute;left:18694;top:52857;width:20510;height:5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" filled="f">
                  <v:textbox inset="3.15611mm,1.57806mm,3.15611mm,1.57806mm">
                    <w:txbxContent>
                      <w:p w14:paraId="79B86AB1"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企业、科研、教学、管理部门等相关单位广泛征求意见</w:t>
                        </w:r>
                      </w:p>
                      <w:p w14:paraId="32E2085B"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69" o:spid="_x0000_s1043" type="#_x0000_t202" style="position:absolute;left:18745;top:61874;width:2051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" filled="f">
                  <v:textbox inset="3.15611mm,1.57806mm,3.15611mm,1.57806mm">
                    <w:txbxContent>
                      <w:p w14:paraId="24674ED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形成规程送审稿</w:t>
                        </w:r>
                      </w:p>
                      <w:p w14:paraId="2A498340"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70" o:spid="_x0000_s1044" type="#_x0000_t202" style="position:absolute;left:18745;top:69132;width:205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" filled="f">
                  <v:textbox inset="3.15611mm,1.57806mm,3.15611mm,1.57806mm">
                    <w:txbxContent>
                      <w:p w14:paraId="613CF79A"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形成标准报批稿</w:t>
                        </w:r>
                      </w:p>
                      <w:p w14:paraId="7AF3C87A"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shape id="文本框 71" o:spid="_x0000_s1045" type="#_x0000_t202" style="position:absolute;left:44526;top:26727;width:8217;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">
                  <v:textbox inset="3.15611mm,1.57806mm,3.15611mm,1.57806mm">
                    <w:txbxContent>
                      <w:p w14:paraId="755EE1FC"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编制标准</w:t>
                        </w:r>
                      </w:p>
                      <w:p w14:paraId="54106F84"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line id="直线 72" o:spid="_x0000_s1046" style="position:absolute;visibility:visible;mso-wrap-style:square" from="11506,14344" to="14643,14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">
                  <v:stroke endarrow="block"/>
                </v:line>
                <v:group id="组合 73" o:spid="_x0000_s1047" style="position:absolute;left:14643;top:2603;width:4102;height:21990" coordorigin="1248,465" coordsize="317,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直线 74" o:spid="_x0000_s1048" style="position:absolute;visibility:visible;mso-wrap-style:square" from="1248,465" to="1248,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直线 75" o:spid="_x0000_s1049" style="position:absolute;visibility:visible;mso-wrap-style:square" from="1248,465" to="156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直线 76" o:spid="_x0000_s1050" style="position:absolute;visibility:visible;mso-wrap-style:square" from="1248,1780" to="1565,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直线 77" o:spid="_x0000_s1051" style="position:absolute;visibility:visible;mso-wrap-style:square" from="1248,919" to="1565,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直线 78" o:spid="_x0000_s1052" style="position:absolute;visibility:visible;mso-wrap-style:square" from="1248,2189" to="156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group>
                <v:group id="组合 79" o:spid="_x0000_s1053" style="position:absolute;left:39255;top:2806;width:4115;height:21933;flip:x" coordorigin="1248,465" coordsize="317,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">
                  <v:line id="直线 80" o:spid="_x0000_s1054" style="position:absolute;visibility:visible;mso-wrap-style:square" from="1248,465" to="1248,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直线 81" o:spid="_x0000_s1055" style="position:absolute;visibility:visible;mso-wrap-style:square" from="1248,465" to="156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直线 82" o:spid="_x0000_s1056" style="position:absolute;visibility:visible;mso-wrap-style:square" from="1248,1780" to="1565,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直线 83" o:spid="_x0000_s1057" style="position:absolute;visibility:visible;mso-wrap-style:square" from="1248,919" to="1565,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直线 84" o:spid="_x0000_s1058" style="position:absolute;visibility:visible;mso-wrap-style:square" from="1248,2189" to="1565,2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group>
                <v:line id="直线 85" o:spid="_x0000_s1059" style="position:absolute;visibility:visible;mso-wrap-style:square" from="39198,14389" to="48564,1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line id="直线 86" o:spid="_x0000_s1060" style="position:absolute;visibility:visible;mso-wrap-style:square" from="11715,46062" to="48621,46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">
                  <v:stroke startarrow="block"/>
                </v:line>
                <v:line id="直线 87" o:spid="_x0000_s1061" style="position:absolute;flip:x;visibility:visible;mso-wrap-style:square" from="43351,31997" to="43351,4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"/>
                <v:line id="直线 88" o:spid="_x0000_s1062" style="position:absolute;flip:x;visibility:visible;mso-wrap-style:square" from="39255,31997" to="43370,31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"/>
                <v:line id="直线 89" o:spid="_x0000_s1063" style="position:absolute;flip:x;visibility:visible;mso-wrap-style:square" from="39255,41954" to="43370,4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"/>
                <v:line id="直线 90" o:spid="_x0000_s1064" style="position:absolute;flip:x;visibility:visible;mso-wrap-style:square" from="39255,37268" to="48621,37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直线 91" o:spid="_x0000_s1065" style="position:absolute;flip:x;visibility:visible;mso-wrap-style:square" from="14636,14395" to="18745,14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v:line id="直线 92" o:spid="_x0000_s1066" style="position:absolute;visibility:visible;mso-wrap-style:square" from="29057,58362" to="29057,6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">
                  <v:stroke endarrow="block"/>
                </v:line>
                <v:line id="直线 93" o:spid="_x0000_s1067" style="position:absolute;visibility:visible;mso-wrap-style:square" from="28905,65582" to="28911,69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">
                  <v:stroke endarrow="block"/>
                </v:line>
                <v:line id="直线 94" o:spid="_x0000_s1068" style="position:absolute;visibility:visible;mso-wrap-style:square" from="5854,16941" to="5861,33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">
                  <v:stroke endarrow="block"/>
                </v:line>
                <v:line id="直线 95" o:spid="_x0000_s1069" style="position:absolute;visibility:visible;mso-wrap-style:square" from="5854,38817" to="5861,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">
                  <v:stroke endarrow="block"/>
                </v:line>
                <v:line id="直线 96" o:spid="_x0000_s1070" style="position:absolute;visibility:visible;mso-wrap-style:square" from="5854,47809" to="585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">
                  <v:stroke endarrow="block"/>
                </v:line>
                <v:line id="直线 97" o:spid="_x0000_s1071" style="position:absolute;flip:x;visibility:visible;mso-wrap-style:square" from="5854,49695" to="18745,49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40rxAAAANsAAAAPAAAAZHJzL2Rvd25yZXYueG1sRI9Ba8JA&#10;EIXvBf/DMkIvoW6qRT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K33jSvEAAAA2wAAAA8A&#10;AAAAAAAAAAAAAAAABwIAAGRycy9kb3ducmV2LnhtbFBLBQYAAAAAAwADALcAAAD4AgAAAAA=&#10;">
                  <v:stroke endarrow="block"/>
                </v:line>
                <v:line id="直线 98" o:spid="_x0000_s1072" style="position:absolute;visibility:visible;mso-wrap-style:square" from="5854,58578" to="5861,60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直线 99" o:spid="_x0000_s1073" style="position:absolute;visibility:visible;mso-wrap-style:square" from="5854,60115" to="29140,60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shape id="文本框 100" o:spid="_x0000_s1074" type="#_x0000_t202" style="position:absolute;left:42379;top:64268;width:8211;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">
                  <v:textbox inset="3.15611mm,1.57806mm,3.15611mm,1.57806mm">
                    <w:txbxContent>
                      <w:p w14:paraId="1592F53F" w14:textId="77777777" w:rsidR="006159E7" w:rsidRDefault="006159E7" w:rsidP="006159E7">
                        <w:pPr>
                          <w:autoSpaceDE w:val="0"/>
                          <w:autoSpaceDN w:val="0"/>
                          <w:adjustRightInd w:val="0"/>
                          <w:jc w:val="center"/>
                          <w:rPr>
                            <w:rFonts w:ascii="Arial" w:hAnsi="Arial" w:cs="宋体"/>
                            <w:color w:val="000000"/>
                            <w:szCs w:val="21"/>
                            <w:lang w:val="zh-CN"/>
                          </w:rPr>
                        </w:pPr>
                        <w:r>
                          <w:rPr>
                            <w:rFonts w:ascii="Arial" w:hAnsi="Arial" w:cs="宋体" w:hint="eastAsia"/>
                            <w:color w:val="000000"/>
                            <w:szCs w:val="21"/>
                            <w:lang w:val="zh-CN"/>
                          </w:rPr>
                          <w:t>主管部门评审</w:t>
                        </w:r>
                      </w:p>
                      <w:p w14:paraId="41D720A4" w14:textId="77777777" w:rsidR="006159E7" w:rsidRDefault="006159E7" w:rsidP="006159E7">
                        <w:pPr>
                          <w:autoSpaceDE w:val="0"/>
                          <w:autoSpaceDN w:val="0"/>
                          <w:adjustRightInd w:val="0"/>
                          <w:jc w:val="center"/>
                          <w:rPr>
                            <w:rFonts w:ascii="Arial" w:hAnsi="Arial" w:cs="宋体"/>
                            <w:color w:val="000000"/>
                            <w:szCs w:val="21"/>
                            <w:lang w:val="zh-CN"/>
                          </w:rPr>
                        </w:pPr>
                      </w:p>
                    </w:txbxContent>
                  </v:textbox>
                </v:shape>
                <v:line id="直线 101" o:spid="_x0000_s1075" style="position:absolute;flip:x;visibility:visible;mso-wrap-style:square" from="28956,67157" to="42430,67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w10:wrap type="topAndBottom"/>
              </v:group>
            </w:pict>
          </mc:Fallback>
        </mc:AlternateContent>
      </w:r>
      <w:r>
        <w:rPr>
          <w:rFonts w:ascii="Times New Roman" w:hAnsi="Times New Roman" w:cs="Times New Roman"/>
          <w:b/>
          <w:sz w:val="24"/>
          <w:szCs w:val="24"/>
        </w:rPr>
        <w:t>图</w:t>
      </w:r>
      <w:r>
        <w:rPr>
          <w:rFonts w:ascii="Times New Roman" w:hAnsi="Times New Roman" w:cs="Times New Roman"/>
          <w:b/>
          <w:sz w:val="24"/>
          <w:szCs w:val="24"/>
        </w:rPr>
        <w:t xml:space="preserve">1 </w:t>
      </w:r>
      <w:r>
        <w:rPr>
          <w:rFonts w:ascii="Times New Roman" w:hAnsi="Times New Roman" w:cs="Times New Roman"/>
          <w:b/>
          <w:sz w:val="24"/>
          <w:szCs w:val="24"/>
        </w:rPr>
        <w:t>标准编制技术路线图</w:t>
      </w:r>
    </w:p>
    <w:p w14:paraId="06C26948" w14:textId="6B4D90B9" w:rsidR="006159E7" w:rsidRDefault="006159E7" w:rsidP="006159E7">
      <w:pPr>
        <w:spacing w:line="360" w:lineRule="auto"/>
        <w:jc w:val="center"/>
        <w:rPr>
          <w:rFonts w:ascii="Times New Roman" w:hAnsi="Times New Roman" w:cs="Times New Roman"/>
          <w:b/>
          <w:sz w:val="24"/>
          <w:szCs w:val="24"/>
        </w:rPr>
      </w:pPr>
    </w:p>
    <w:p w14:paraId="19B5F16F" w14:textId="0A829BCF" w:rsidR="006159E7" w:rsidRDefault="006159E7" w:rsidP="006159E7">
      <w:pPr>
        <w:spacing w:line="360" w:lineRule="auto"/>
        <w:jc w:val="center"/>
        <w:rPr>
          <w:rFonts w:ascii="Times New Roman" w:hAnsi="Times New Roman" w:cs="Times New Roman"/>
          <w:b/>
          <w:sz w:val="24"/>
          <w:szCs w:val="24"/>
        </w:rPr>
      </w:pPr>
    </w:p>
    <w:p w14:paraId="4FA01649" w14:textId="77777777" w:rsidR="006159E7" w:rsidRDefault="006159E7" w:rsidP="006159E7">
      <w:pPr>
        <w:spacing w:line="360" w:lineRule="auto"/>
        <w:jc w:val="center"/>
        <w:rPr>
          <w:rFonts w:ascii="Times New Roman" w:hAnsi="Times New Roman" w:cs="Times New Roman"/>
          <w:b/>
          <w:sz w:val="24"/>
          <w:szCs w:val="24"/>
        </w:rPr>
      </w:pPr>
    </w:p>
    <w:p w14:paraId="2B4DAF33" w14:textId="77777777" w:rsidR="006159E7" w:rsidRDefault="006159E7" w:rsidP="00AB40B5">
      <w:pPr>
        <w:pStyle w:val="aa"/>
        <w:numPr>
          <w:ilvl w:val="0"/>
          <w:numId w:val="2"/>
        </w:numPr>
        <w:adjustRightInd w:val="0"/>
        <w:spacing w:beforeLines="100" w:before="312" w:after="0"/>
        <w:jc w:val="left"/>
        <w:rPr>
          <w:rFonts w:ascii="Times New Roman" w:eastAsia="黑体" w:hAnsi="Times New Roman" w:cs="Times New Roman"/>
        </w:rPr>
      </w:pPr>
      <w:bookmarkStart w:id="23" w:name="_Toc17733"/>
      <w:bookmarkStart w:id="24" w:name="_Toc136984239"/>
      <w:r>
        <w:rPr>
          <w:rFonts w:ascii="Times New Roman" w:eastAsia="黑体" w:hAnsi="Times New Roman" w:cs="Times New Roman" w:hint="eastAsia"/>
        </w:rPr>
        <w:lastRenderedPageBreak/>
        <w:t>综述报告及预期效果</w:t>
      </w:r>
      <w:bookmarkEnd w:id="23"/>
      <w:bookmarkEnd w:id="24"/>
    </w:p>
    <w:p w14:paraId="1F5910EB" w14:textId="7BFABA75" w:rsidR="00A0025A" w:rsidRPr="00A0025A" w:rsidRDefault="00A0025A" w:rsidP="00A0025A">
      <w:pPr>
        <w:spacing w:line="480" w:lineRule="exact"/>
        <w:ind w:firstLineChars="200" w:firstLine="640"/>
        <w:rPr>
          <w:rFonts w:ascii="Times New Roman" w:eastAsia="仿宋_GB2312" w:hAnsi="Times New Roman" w:cs="Times New Roman"/>
          <w:sz w:val="32"/>
          <w:szCs w:val="32"/>
        </w:rPr>
      </w:pPr>
      <w:r w:rsidRPr="00A0025A">
        <w:rPr>
          <w:rFonts w:ascii="Times New Roman" w:eastAsia="仿宋_GB2312" w:hAnsi="Times New Roman" w:cs="Times New Roman" w:hint="eastAsia"/>
          <w:sz w:val="32"/>
          <w:szCs w:val="32"/>
        </w:rPr>
        <w:t>重金属污染是我国当前面临的重大环境问题。随着有色金属产业升级，“退城进园”和“退二进三”政策的推行，资源型城市及周边地区出现大面积的工业遗弃场地，存在极大的环境风险。</w:t>
      </w:r>
      <w:r w:rsidRPr="00A0025A">
        <w:rPr>
          <w:rFonts w:ascii="Times New Roman" w:eastAsia="仿宋_GB2312" w:hAnsi="Times New Roman" w:cs="Times New Roman"/>
          <w:sz w:val="32"/>
          <w:szCs w:val="32"/>
        </w:rPr>
        <w:t>2014</w:t>
      </w:r>
      <w:r w:rsidRPr="00A0025A">
        <w:rPr>
          <w:rFonts w:ascii="Times New Roman" w:eastAsia="仿宋_GB2312" w:hAnsi="Times New Roman" w:cs="Times New Roman"/>
          <w:sz w:val="32"/>
          <w:szCs w:val="32"/>
        </w:rPr>
        <w:t>年《全国土壤污染状况调查公报》显示，重污染企业用地点位超标率</w:t>
      </w:r>
      <w:r w:rsidRPr="00A0025A">
        <w:rPr>
          <w:rFonts w:ascii="Times New Roman" w:eastAsia="仿宋_GB2312" w:hAnsi="Times New Roman" w:cs="Times New Roman"/>
          <w:sz w:val="32"/>
          <w:szCs w:val="32"/>
        </w:rPr>
        <w:t>36.3%</w:t>
      </w:r>
      <w:r w:rsidRPr="00A0025A">
        <w:rPr>
          <w:rFonts w:ascii="Times New Roman" w:eastAsia="仿宋_GB2312" w:hAnsi="Times New Roman" w:cs="Times New Roman"/>
          <w:sz w:val="32"/>
          <w:szCs w:val="32"/>
        </w:rPr>
        <w:t>、工业废弃地点位超标率</w:t>
      </w:r>
      <w:r w:rsidRPr="00A0025A">
        <w:rPr>
          <w:rFonts w:ascii="Times New Roman" w:eastAsia="仿宋_GB2312" w:hAnsi="Times New Roman" w:cs="Times New Roman"/>
          <w:sz w:val="32"/>
          <w:szCs w:val="32"/>
        </w:rPr>
        <w:t>34.9%</w:t>
      </w:r>
      <w:r w:rsidRPr="00A0025A">
        <w:rPr>
          <w:rFonts w:ascii="Times New Roman" w:eastAsia="仿宋_GB2312" w:hAnsi="Times New Roman" w:cs="Times New Roman"/>
          <w:sz w:val="32"/>
          <w:szCs w:val="32"/>
        </w:rPr>
        <w:t>，金属冶炼加工区超标问题突出。主要污染物为锌、汞、铅、铬、砷，有色冶金行业尤为严重。</w:t>
      </w:r>
      <w:r w:rsidRPr="00A0025A">
        <w:rPr>
          <w:rFonts w:ascii="Times New Roman" w:eastAsia="仿宋_GB2312" w:hAnsi="Times New Roman" w:cs="Times New Roman"/>
          <w:sz w:val="32"/>
          <w:szCs w:val="32"/>
        </w:rPr>
        <w:t>2016</w:t>
      </w:r>
      <w:r w:rsidRPr="00A0025A">
        <w:rPr>
          <w:rFonts w:ascii="Times New Roman" w:eastAsia="仿宋_GB2312" w:hAnsi="Times New Roman" w:cs="Times New Roman"/>
          <w:sz w:val="32"/>
          <w:szCs w:val="32"/>
        </w:rPr>
        <w:t>年国务院印发《土壤污染防治行动计划》，</w:t>
      </w:r>
      <w:r w:rsidRPr="00A0025A">
        <w:rPr>
          <w:rFonts w:ascii="Times New Roman" w:eastAsia="仿宋_GB2312" w:hAnsi="Times New Roman" w:cs="Times New Roman"/>
          <w:sz w:val="32"/>
          <w:szCs w:val="32"/>
        </w:rPr>
        <w:t>2019</w:t>
      </w:r>
      <w:r w:rsidRPr="00A0025A">
        <w:rPr>
          <w:rFonts w:ascii="Times New Roman" w:eastAsia="仿宋_GB2312" w:hAnsi="Times New Roman" w:cs="Times New Roman"/>
          <w:sz w:val="32"/>
          <w:szCs w:val="32"/>
        </w:rPr>
        <w:t>年《中华人民共和国土壤污染防治法》正式施行，要求重点监管有色金属采选冶炼行业，加强土壤污染防</w:t>
      </w:r>
      <w:r w:rsidRPr="00A0025A">
        <w:rPr>
          <w:rFonts w:ascii="Times New Roman" w:eastAsia="仿宋_GB2312" w:hAnsi="Times New Roman" w:cs="Times New Roman" w:hint="eastAsia"/>
          <w:sz w:val="32"/>
          <w:szCs w:val="32"/>
        </w:rPr>
        <w:t>治，保障公众健康，推动土壤资源永续利用，推进生态文明建设。</w:t>
      </w:r>
      <w:r w:rsidRPr="00A0025A">
        <w:rPr>
          <w:rFonts w:ascii="Times New Roman" w:eastAsia="仿宋_GB2312" w:hAnsi="Times New Roman" w:cs="Times New Roman"/>
          <w:sz w:val="32"/>
          <w:szCs w:val="32"/>
        </w:rPr>
        <w:t>2019</w:t>
      </w:r>
      <w:r w:rsidRPr="00A0025A">
        <w:rPr>
          <w:rFonts w:ascii="Times New Roman" w:eastAsia="仿宋_GB2312" w:hAnsi="Times New Roman" w:cs="Times New Roman"/>
          <w:sz w:val="32"/>
          <w:szCs w:val="32"/>
        </w:rPr>
        <w:t>年发布的《地下水污染防治实施方案》中也提出要严控有色金属冶炼等行业环境风险，监控地下水污染源，遏制地下水污染加剧趋势的要求。</w:t>
      </w:r>
    </w:p>
    <w:p w14:paraId="36EABA66" w14:textId="69E9CF2D" w:rsidR="00A0025A" w:rsidRPr="00A0025A" w:rsidRDefault="00A0025A" w:rsidP="00A0025A">
      <w:pPr>
        <w:spacing w:line="480" w:lineRule="exact"/>
        <w:ind w:firstLineChars="200" w:firstLine="640"/>
        <w:rPr>
          <w:rFonts w:ascii="Times New Roman" w:eastAsia="仿宋_GB2312" w:hAnsi="Times New Roman" w:cs="Times New Roman"/>
          <w:sz w:val="32"/>
          <w:szCs w:val="32"/>
        </w:rPr>
      </w:pPr>
      <w:r w:rsidRPr="00A0025A">
        <w:rPr>
          <w:rFonts w:ascii="Times New Roman" w:eastAsia="仿宋_GB2312" w:hAnsi="Times New Roman" w:cs="Times New Roman" w:hint="eastAsia"/>
          <w:sz w:val="32"/>
          <w:szCs w:val="32"/>
        </w:rPr>
        <w:t>有色金属是国家经济建设和社会发展的重要物质基础和战略资源，我国是有色金属生产和消费大国。据国家统计局数据，</w:t>
      </w:r>
      <w:r w:rsidRPr="00A0025A">
        <w:rPr>
          <w:rFonts w:ascii="Times New Roman" w:eastAsia="仿宋_GB2312" w:hAnsi="Times New Roman" w:cs="Times New Roman"/>
          <w:sz w:val="32"/>
          <w:szCs w:val="32"/>
        </w:rPr>
        <w:t>2022</w:t>
      </w:r>
      <w:r w:rsidRPr="00A0025A">
        <w:rPr>
          <w:rFonts w:ascii="Times New Roman" w:eastAsia="仿宋_GB2312" w:hAnsi="Times New Roman" w:cs="Times New Roman"/>
          <w:sz w:val="32"/>
          <w:szCs w:val="32"/>
        </w:rPr>
        <w:t>年十种有色金属产量</w:t>
      </w:r>
      <w:r w:rsidRPr="00A0025A">
        <w:rPr>
          <w:rFonts w:ascii="Times New Roman" w:eastAsia="仿宋_GB2312" w:hAnsi="Times New Roman" w:cs="Times New Roman"/>
          <w:sz w:val="32"/>
          <w:szCs w:val="32"/>
        </w:rPr>
        <w:t>6774</w:t>
      </w:r>
      <w:r w:rsidRPr="00A0025A">
        <w:rPr>
          <w:rFonts w:ascii="Times New Roman" w:eastAsia="仿宋_GB2312" w:hAnsi="Times New Roman" w:cs="Times New Roman"/>
          <w:sz w:val="32"/>
          <w:szCs w:val="32"/>
        </w:rPr>
        <w:t>万吨，同比增长</w:t>
      </w:r>
      <w:r w:rsidRPr="00A0025A">
        <w:rPr>
          <w:rFonts w:ascii="Times New Roman" w:eastAsia="仿宋_GB2312" w:hAnsi="Times New Roman" w:cs="Times New Roman"/>
          <w:sz w:val="32"/>
          <w:szCs w:val="32"/>
        </w:rPr>
        <w:t>4.3%</w:t>
      </w:r>
      <w:r w:rsidRPr="00A0025A">
        <w:rPr>
          <w:rFonts w:ascii="Times New Roman" w:eastAsia="仿宋_GB2312" w:hAnsi="Times New Roman" w:cs="Times New Roman"/>
          <w:sz w:val="32"/>
          <w:szCs w:val="32"/>
        </w:rPr>
        <w:t>，两年平均增长</w:t>
      </w:r>
      <w:r w:rsidRPr="00A0025A">
        <w:rPr>
          <w:rFonts w:ascii="Times New Roman" w:eastAsia="仿宋_GB2312" w:hAnsi="Times New Roman" w:cs="Times New Roman"/>
          <w:sz w:val="32"/>
          <w:szCs w:val="32"/>
        </w:rPr>
        <w:t>5.1%</w:t>
      </w:r>
      <w:r w:rsidRPr="00A0025A">
        <w:rPr>
          <w:rFonts w:ascii="Times New Roman" w:eastAsia="仿宋_GB2312" w:hAnsi="Times New Roman" w:cs="Times New Roman"/>
          <w:sz w:val="32"/>
          <w:szCs w:val="32"/>
        </w:rPr>
        <w:t>，占全球首位。行业的持续高投入和高产出，一方面维持了经济和社会的高速发展，另一方面也带来了严重的环境问题，土壤和地下水资源受到严重威胁。有色金属的</w:t>
      </w:r>
      <w:r w:rsidRPr="00A0025A">
        <w:rPr>
          <w:rFonts w:ascii="Times New Roman" w:eastAsia="仿宋_GB2312" w:hAnsi="Times New Roman" w:cs="Times New Roman"/>
          <w:sz w:val="32"/>
          <w:szCs w:val="32"/>
        </w:rPr>
        <w:t>“</w:t>
      </w:r>
      <w:r w:rsidRPr="00A0025A">
        <w:rPr>
          <w:rFonts w:ascii="Times New Roman" w:eastAsia="仿宋_GB2312" w:hAnsi="Times New Roman" w:cs="Times New Roman"/>
          <w:sz w:val="32"/>
          <w:szCs w:val="32"/>
        </w:rPr>
        <w:t>采、选、冶</w:t>
      </w:r>
      <w:r w:rsidRPr="00A0025A">
        <w:rPr>
          <w:rFonts w:ascii="Times New Roman" w:eastAsia="仿宋_GB2312" w:hAnsi="Times New Roman" w:cs="Times New Roman"/>
          <w:sz w:val="32"/>
          <w:szCs w:val="32"/>
        </w:rPr>
        <w:t>”</w:t>
      </w:r>
      <w:r w:rsidRPr="00A0025A">
        <w:rPr>
          <w:rFonts w:ascii="Times New Roman" w:eastAsia="仿宋_GB2312" w:hAnsi="Times New Roman" w:cs="Times New Roman"/>
          <w:sz w:val="32"/>
          <w:szCs w:val="32"/>
        </w:rPr>
        <w:t>是向环境中重金属的主要途径之一，长期以来粗放的环境管理、生产过程中的</w:t>
      </w:r>
      <w:r w:rsidRPr="00A0025A">
        <w:rPr>
          <w:rFonts w:ascii="Times New Roman" w:eastAsia="仿宋_GB2312" w:hAnsi="Times New Roman" w:cs="Times New Roman"/>
          <w:sz w:val="32"/>
          <w:szCs w:val="32"/>
        </w:rPr>
        <w:t>“</w:t>
      </w:r>
      <w:r w:rsidRPr="00A0025A">
        <w:rPr>
          <w:rFonts w:ascii="Times New Roman" w:eastAsia="仿宋_GB2312" w:hAnsi="Times New Roman" w:cs="Times New Roman"/>
          <w:sz w:val="32"/>
          <w:szCs w:val="32"/>
        </w:rPr>
        <w:t>跑冒滴漏</w:t>
      </w:r>
      <w:r w:rsidRPr="00A0025A">
        <w:rPr>
          <w:rFonts w:ascii="Times New Roman" w:eastAsia="仿宋_GB2312" w:hAnsi="Times New Roman" w:cs="Times New Roman"/>
          <w:sz w:val="32"/>
          <w:szCs w:val="32"/>
        </w:rPr>
        <w:t>”</w:t>
      </w:r>
      <w:r w:rsidRPr="00A0025A">
        <w:rPr>
          <w:rFonts w:ascii="Times New Roman" w:eastAsia="仿宋_GB2312" w:hAnsi="Times New Roman" w:cs="Times New Roman"/>
          <w:sz w:val="32"/>
          <w:szCs w:val="32"/>
        </w:rPr>
        <w:t>、甚至冶炼废物的非法堆存与处置等情况的出现，导致有色金属冶炼场地成为了区域的主要的</w:t>
      </w:r>
      <w:r w:rsidRPr="00A0025A">
        <w:rPr>
          <w:rFonts w:ascii="Times New Roman" w:eastAsia="仿宋_GB2312" w:hAnsi="Times New Roman" w:cs="Times New Roman" w:hint="eastAsia"/>
          <w:sz w:val="32"/>
          <w:szCs w:val="32"/>
        </w:rPr>
        <w:t>重金属污染源</w:t>
      </w:r>
      <w:r w:rsidRPr="00A0025A">
        <w:rPr>
          <w:rFonts w:ascii="Times New Roman" w:eastAsia="仿宋_GB2312" w:hAnsi="Times New Roman" w:cs="Times New Roman"/>
          <w:sz w:val="32"/>
          <w:szCs w:val="32"/>
        </w:rPr>
        <w:t>，严重威胁区域环境。例如，</w:t>
      </w:r>
      <w:r w:rsidRPr="00A0025A">
        <w:rPr>
          <w:rFonts w:ascii="Times New Roman" w:eastAsia="仿宋_GB2312" w:hAnsi="Times New Roman" w:cs="Times New Roman" w:hint="eastAsia"/>
          <w:sz w:val="32"/>
          <w:szCs w:val="32"/>
        </w:rPr>
        <w:t>有色冶炼场地不仅影响着区域环境，更会威胁到人居环境和人体健康。</w:t>
      </w:r>
      <w:r w:rsidRPr="00A0025A">
        <w:rPr>
          <w:rFonts w:ascii="Times New Roman" w:eastAsia="仿宋_GB2312" w:hAnsi="Times New Roman" w:cs="Times New Roman"/>
          <w:sz w:val="32"/>
          <w:szCs w:val="32"/>
        </w:rPr>
        <w:t>约有</w:t>
      </w:r>
      <w:r w:rsidRPr="00A0025A">
        <w:rPr>
          <w:rFonts w:ascii="Times New Roman" w:eastAsia="仿宋_GB2312" w:hAnsi="Times New Roman" w:cs="Times New Roman"/>
          <w:sz w:val="32"/>
          <w:szCs w:val="32"/>
        </w:rPr>
        <w:t>34.2</w:t>
      </w:r>
      <w:r w:rsidRPr="00A0025A">
        <w:rPr>
          <w:rFonts w:ascii="Times New Roman" w:eastAsia="仿宋_GB2312" w:hAnsi="Times New Roman" w:cs="Times New Roman"/>
          <w:sz w:val="32"/>
          <w:szCs w:val="32"/>
        </w:rPr>
        <w:t>和</w:t>
      </w:r>
      <w:r w:rsidRPr="00A0025A">
        <w:rPr>
          <w:rFonts w:ascii="Times New Roman" w:eastAsia="仿宋_GB2312" w:hAnsi="Times New Roman" w:cs="Times New Roman"/>
          <w:sz w:val="32"/>
          <w:szCs w:val="32"/>
        </w:rPr>
        <w:t>7.7%</w:t>
      </w:r>
      <w:r w:rsidRPr="00A0025A">
        <w:rPr>
          <w:rFonts w:ascii="Times New Roman" w:eastAsia="仿宋_GB2312" w:hAnsi="Times New Roman" w:cs="Times New Roman"/>
          <w:sz w:val="32"/>
          <w:szCs w:val="32"/>
        </w:rPr>
        <w:t>的土壤样品可能对儿童造成不良健康影响和较高的慢性病风险。此外，一些环境事件（如</w:t>
      </w:r>
      <w:r w:rsidRPr="00A0025A">
        <w:rPr>
          <w:rFonts w:ascii="Times New Roman" w:eastAsia="仿宋_GB2312" w:hAnsi="Times New Roman" w:cs="Times New Roman"/>
          <w:sz w:val="32"/>
          <w:szCs w:val="32"/>
        </w:rPr>
        <w:t>2009</w:t>
      </w:r>
      <w:r w:rsidRPr="00A0025A">
        <w:rPr>
          <w:rFonts w:ascii="Times New Roman" w:eastAsia="仿宋_GB2312" w:hAnsi="Times New Roman" w:cs="Times New Roman"/>
          <w:sz w:val="32"/>
          <w:szCs w:val="32"/>
        </w:rPr>
        <w:t>年济源市铅锌冶炼厂污染导致儿童血铅超标事</w:t>
      </w:r>
      <w:r w:rsidRPr="00A0025A">
        <w:rPr>
          <w:rFonts w:ascii="Times New Roman" w:eastAsia="仿宋_GB2312" w:hAnsi="Times New Roman" w:cs="Times New Roman"/>
          <w:sz w:val="32"/>
          <w:szCs w:val="32"/>
        </w:rPr>
        <w:lastRenderedPageBreak/>
        <w:t>件等、</w:t>
      </w:r>
      <w:r w:rsidRPr="00A0025A">
        <w:rPr>
          <w:rFonts w:ascii="Times New Roman" w:eastAsia="仿宋_GB2312" w:hAnsi="Times New Roman" w:cs="Times New Roman"/>
          <w:sz w:val="32"/>
          <w:szCs w:val="32"/>
        </w:rPr>
        <w:t>2014</w:t>
      </w:r>
      <w:r w:rsidRPr="00A0025A">
        <w:rPr>
          <w:rFonts w:ascii="Times New Roman" w:eastAsia="仿宋_GB2312" w:hAnsi="Times New Roman" w:cs="Times New Roman"/>
          <w:sz w:val="32"/>
          <w:szCs w:val="32"/>
        </w:rPr>
        <w:t>年广西大新县铅锌矿区周边居民</w:t>
      </w:r>
      <w:proofErr w:type="gramStart"/>
      <w:r w:rsidRPr="00A0025A">
        <w:rPr>
          <w:rFonts w:ascii="Times New Roman" w:eastAsia="仿宋_GB2312" w:hAnsi="Times New Roman" w:cs="Times New Roman"/>
          <w:sz w:val="32"/>
          <w:szCs w:val="32"/>
        </w:rPr>
        <w:t>镉</w:t>
      </w:r>
      <w:proofErr w:type="gramEnd"/>
      <w:r w:rsidRPr="00A0025A">
        <w:rPr>
          <w:rFonts w:ascii="Times New Roman" w:eastAsia="仿宋_GB2312" w:hAnsi="Times New Roman" w:cs="Times New Roman"/>
          <w:sz w:val="32"/>
          <w:szCs w:val="32"/>
        </w:rPr>
        <w:t>中毒）也会引发政府和公众对冶炼行业重金属污染问题的关注和反思。土地资源人类赖以生存的物质基础和经济社会发展必需的自然资源，事关重大的民生问题和</w:t>
      </w:r>
      <w:r w:rsidRPr="00A0025A">
        <w:rPr>
          <w:rFonts w:ascii="Times New Roman" w:eastAsia="仿宋_GB2312" w:hAnsi="Times New Roman" w:cs="Times New Roman" w:hint="eastAsia"/>
          <w:sz w:val="32"/>
          <w:szCs w:val="32"/>
        </w:rPr>
        <w:t>安全问题。大量污染场地由于缺乏有效的污染风险管控和修复治理，严重限制了紧缺土地资源的永续利用</w:t>
      </w:r>
      <w:r w:rsidRPr="00A0025A">
        <w:rPr>
          <w:rFonts w:ascii="Times New Roman" w:eastAsia="仿宋_GB2312" w:hAnsi="Times New Roman" w:cs="Times New Roman"/>
          <w:sz w:val="32"/>
          <w:szCs w:val="32"/>
        </w:rPr>
        <w:t>。据不完全统计，我国污染场地多达</w:t>
      </w:r>
      <w:r w:rsidRPr="00A0025A">
        <w:rPr>
          <w:rFonts w:ascii="Times New Roman" w:eastAsia="仿宋_GB2312" w:hAnsi="Times New Roman" w:cs="Times New Roman"/>
          <w:sz w:val="32"/>
          <w:szCs w:val="32"/>
        </w:rPr>
        <w:t>30-50</w:t>
      </w:r>
      <w:r w:rsidRPr="00A0025A">
        <w:rPr>
          <w:rFonts w:ascii="Times New Roman" w:eastAsia="仿宋_GB2312" w:hAnsi="Times New Roman" w:cs="Times New Roman"/>
          <w:sz w:val="32"/>
          <w:szCs w:val="32"/>
        </w:rPr>
        <w:t>万块，其中占地面积</w:t>
      </w:r>
      <w:r w:rsidRPr="00A0025A">
        <w:rPr>
          <w:rFonts w:ascii="Times New Roman" w:eastAsia="仿宋_GB2312" w:hAnsi="Times New Roman" w:cs="Times New Roman"/>
          <w:sz w:val="32"/>
          <w:szCs w:val="32"/>
        </w:rPr>
        <w:t>10</w:t>
      </w:r>
      <w:r w:rsidRPr="00A0025A">
        <w:rPr>
          <w:rFonts w:ascii="Times New Roman" w:eastAsia="仿宋_GB2312" w:hAnsi="Times New Roman" w:cs="Times New Roman"/>
          <w:sz w:val="32"/>
          <w:szCs w:val="32"/>
        </w:rPr>
        <w:t>万</w:t>
      </w:r>
      <w:r w:rsidRPr="00A0025A">
        <w:rPr>
          <w:rFonts w:ascii="Times New Roman" w:eastAsia="仿宋_GB2312" w:hAnsi="Times New Roman" w:cs="Times New Roman"/>
          <w:sz w:val="32"/>
          <w:szCs w:val="32"/>
        </w:rPr>
        <w:t>~100</w:t>
      </w:r>
      <w:r w:rsidRPr="00A0025A">
        <w:rPr>
          <w:rFonts w:ascii="Times New Roman" w:eastAsia="仿宋_GB2312" w:hAnsi="Times New Roman" w:cs="Times New Roman"/>
          <w:sz w:val="32"/>
          <w:szCs w:val="32"/>
        </w:rPr>
        <w:t>万</w:t>
      </w:r>
      <w:r w:rsidRPr="00A0025A">
        <w:rPr>
          <w:rFonts w:ascii="Times New Roman" w:eastAsia="仿宋_GB2312" w:hAnsi="Times New Roman" w:cs="Times New Roman"/>
          <w:sz w:val="32"/>
          <w:szCs w:val="32"/>
        </w:rPr>
        <w:t xml:space="preserve">m2 </w:t>
      </w:r>
      <w:r w:rsidRPr="00A0025A">
        <w:rPr>
          <w:rFonts w:ascii="Times New Roman" w:eastAsia="仿宋_GB2312" w:hAnsi="Times New Roman" w:cs="Times New Roman"/>
          <w:sz w:val="32"/>
          <w:szCs w:val="32"/>
        </w:rPr>
        <w:t>的大型污染场地占比</w:t>
      </w:r>
      <w:r w:rsidRPr="00A0025A">
        <w:rPr>
          <w:rFonts w:ascii="Times New Roman" w:eastAsia="仿宋_GB2312" w:hAnsi="Times New Roman" w:cs="Times New Roman"/>
          <w:sz w:val="32"/>
          <w:szCs w:val="32"/>
        </w:rPr>
        <w:t>55%</w:t>
      </w:r>
      <w:r w:rsidRPr="00A0025A">
        <w:rPr>
          <w:rFonts w:ascii="Times New Roman" w:eastAsia="仿宋_GB2312" w:hAnsi="Times New Roman" w:cs="Times New Roman"/>
          <w:sz w:val="32"/>
          <w:szCs w:val="32"/>
        </w:rPr>
        <w:t>，</w:t>
      </w:r>
      <w:r w:rsidRPr="00A0025A">
        <w:rPr>
          <w:rFonts w:ascii="Times New Roman" w:eastAsia="仿宋_GB2312" w:hAnsi="Times New Roman" w:cs="Times New Roman"/>
          <w:sz w:val="32"/>
          <w:szCs w:val="32"/>
        </w:rPr>
        <w:t>100</w:t>
      </w:r>
      <w:r w:rsidRPr="00A0025A">
        <w:rPr>
          <w:rFonts w:ascii="Times New Roman" w:eastAsia="仿宋_GB2312" w:hAnsi="Times New Roman" w:cs="Times New Roman"/>
          <w:sz w:val="32"/>
          <w:szCs w:val="32"/>
        </w:rPr>
        <w:t>万</w:t>
      </w:r>
      <w:r w:rsidRPr="00A0025A">
        <w:rPr>
          <w:rFonts w:ascii="Times New Roman" w:eastAsia="仿宋_GB2312" w:hAnsi="Times New Roman" w:cs="Times New Roman"/>
          <w:sz w:val="32"/>
          <w:szCs w:val="32"/>
        </w:rPr>
        <w:t>m2</w:t>
      </w:r>
      <w:r w:rsidRPr="00A0025A">
        <w:rPr>
          <w:rFonts w:ascii="Times New Roman" w:eastAsia="仿宋_GB2312" w:hAnsi="Times New Roman" w:cs="Times New Roman"/>
          <w:sz w:val="32"/>
          <w:szCs w:val="32"/>
        </w:rPr>
        <w:t>以上的超大型场地占比</w:t>
      </w:r>
      <w:r w:rsidRPr="00A0025A">
        <w:rPr>
          <w:rFonts w:ascii="Times New Roman" w:eastAsia="仿宋_GB2312" w:hAnsi="Times New Roman" w:cs="Times New Roman"/>
          <w:sz w:val="32"/>
          <w:szCs w:val="32"/>
        </w:rPr>
        <w:t>15%</w:t>
      </w:r>
      <w:r w:rsidRPr="00A0025A">
        <w:rPr>
          <w:rFonts w:ascii="Times New Roman" w:eastAsia="仿宋_GB2312" w:hAnsi="Times New Roman" w:cs="Times New Roman"/>
          <w:sz w:val="32"/>
          <w:szCs w:val="32"/>
        </w:rPr>
        <w:t>。大量宝贵土地资源的难以利用，成为一些工业城市转型升级的绊脚石。</w:t>
      </w:r>
    </w:p>
    <w:p w14:paraId="512CAE13" w14:textId="77777777" w:rsidR="00B94A9D" w:rsidRDefault="00A0025A" w:rsidP="00A0025A">
      <w:pPr>
        <w:spacing w:line="480" w:lineRule="exact"/>
        <w:ind w:firstLineChars="200" w:firstLine="640"/>
        <w:rPr>
          <w:rFonts w:ascii="Times New Roman" w:eastAsia="仿宋_GB2312" w:hAnsi="Times New Roman" w:cs="Times New Roman"/>
          <w:sz w:val="32"/>
          <w:szCs w:val="32"/>
        </w:rPr>
      </w:pPr>
      <w:r w:rsidRPr="00A0025A">
        <w:rPr>
          <w:rFonts w:ascii="Times New Roman" w:eastAsia="仿宋_GB2312" w:hAnsi="Times New Roman" w:cs="Times New Roman" w:hint="eastAsia"/>
          <w:sz w:val="32"/>
          <w:szCs w:val="32"/>
        </w:rPr>
        <w:t>有色冶炼场地因其生产历史复杂、地质条件特殊，污染难以溯源等特点，修复工程实施存在范围界定难、工程量核算难等系问题。现有场地修复存在“重修复轻调查、重土壤轻地下水、管控措施流程化、修复技术单一化”等问题</w:t>
      </w:r>
      <w:r w:rsidRPr="00A0025A">
        <w:rPr>
          <w:rFonts w:ascii="Times New Roman" w:eastAsia="仿宋_GB2312" w:hAnsi="Times New Roman" w:cs="Times New Roman"/>
          <w:sz w:val="32"/>
          <w:szCs w:val="32"/>
        </w:rPr>
        <w:t>，也缺乏对场地多源环境信息的整合分析。通过对中国招标网的公开信息检索与分析，在过去</w:t>
      </w:r>
      <w:r w:rsidRPr="00A0025A">
        <w:rPr>
          <w:rFonts w:ascii="Times New Roman" w:eastAsia="仿宋_GB2312" w:hAnsi="Times New Roman" w:cs="Times New Roman"/>
          <w:sz w:val="32"/>
          <w:szCs w:val="32"/>
        </w:rPr>
        <w:t>10</w:t>
      </w:r>
      <w:r w:rsidRPr="00A0025A">
        <w:rPr>
          <w:rFonts w:ascii="Times New Roman" w:eastAsia="仿宋_GB2312" w:hAnsi="Times New Roman" w:cs="Times New Roman"/>
          <w:sz w:val="32"/>
          <w:szCs w:val="32"/>
        </w:rPr>
        <w:t>年间，中国启动了</w:t>
      </w:r>
      <w:r w:rsidRPr="00A0025A">
        <w:rPr>
          <w:rFonts w:ascii="Times New Roman" w:eastAsia="仿宋_GB2312" w:hAnsi="Times New Roman" w:cs="Times New Roman"/>
          <w:sz w:val="32"/>
          <w:szCs w:val="32"/>
        </w:rPr>
        <w:t>455</w:t>
      </w:r>
      <w:r w:rsidRPr="00A0025A">
        <w:rPr>
          <w:rFonts w:ascii="Times New Roman" w:eastAsia="仿宋_GB2312" w:hAnsi="Times New Roman" w:cs="Times New Roman"/>
          <w:sz w:val="32"/>
          <w:szCs w:val="32"/>
        </w:rPr>
        <w:t>个污染场地修复项目，其中有</w:t>
      </w:r>
      <w:r w:rsidRPr="00A0025A">
        <w:rPr>
          <w:rFonts w:ascii="Times New Roman" w:eastAsia="仿宋_GB2312" w:hAnsi="Times New Roman" w:cs="Times New Roman"/>
          <w:sz w:val="32"/>
          <w:szCs w:val="32"/>
        </w:rPr>
        <w:t>188</w:t>
      </w:r>
      <w:r w:rsidRPr="00A0025A">
        <w:rPr>
          <w:rFonts w:ascii="Times New Roman" w:eastAsia="仿宋_GB2312" w:hAnsi="Times New Roman" w:cs="Times New Roman"/>
          <w:sz w:val="32"/>
          <w:szCs w:val="32"/>
        </w:rPr>
        <w:t>个是重金属污染修复项目，占比</w:t>
      </w:r>
      <w:r w:rsidRPr="00A0025A">
        <w:rPr>
          <w:rFonts w:ascii="Times New Roman" w:eastAsia="仿宋_GB2312" w:hAnsi="Times New Roman" w:cs="Times New Roman"/>
          <w:sz w:val="32"/>
          <w:szCs w:val="32"/>
        </w:rPr>
        <w:t>41.3%</w:t>
      </w:r>
      <w:r w:rsidRPr="00A0025A">
        <w:rPr>
          <w:rFonts w:ascii="Times New Roman" w:eastAsia="仿宋_GB2312" w:hAnsi="Times New Roman" w:cs="Times New Roman"/>
          <w:sz w:val="32"/>
          <w:szCs w:val="32"/>
        </w:rPr>
        <w:t>。由于缺乏对污染特征的准确把握及针对性的修复策略，很多污染场地未达到预期的修复效果。</w:t>
      </w:r>
    </w:p>
    <w:p w14:paraId="0E1EB081" w14:textId="15673A5C" w:rsidR="00A0025A" w:rsidRDefault="00B94A9D" w:rsidP="00A0025A">
      <w:pPr>
        <w:spacing w:line="480" w:lineRule="exact"/>
        <w:ind w:firstLineChars="200" w:firstLine="640"/>
        <w:rPr>
          <w:rFonts w:ascii="Times New Roman" w:eastAsia="仿宋_GB2312" w:hAnsi="Times New Roman" w:cs="Times New Roman"/>
          <w:sz w:val="32"/>
          <w:szCs w:val="32"/>
        </w:rPr>
      </w:pPr>
      <w:r w:rsidRPr="00B94A9D">
        <w:rPr>
          <w:rFonts w:ascii="Times New Roman" w:eastAsia="仿宋_GB2312" w:hAnsi="Times New Roman" w:cs="Times New Roman" w:hint="eastAsia"/>
          <w:sz w:val="32"/>
          <w:szCs w:val="32"/>
        </w:rPr>
        <w:t>据统计，</w:t>
      </w:r>
      <w:r>
        <w:rPr>
          <w:rFonts w:ascii="Times New Roman" w:eastAsia="仿宋_GB2312" w:hAnsi="Times New Roman" w:cs="Times New Roman" w:hint="eastAsia"/>
          <w:sz w:val="32"/>
          <w:szCs w:val="32"/>
        </w:rPr>
        <w:t>土壤</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地下水</w:t>
      </w:r>
      <w:r w:rsidRPr="00B94A9D">
        <w:rPr>
          <w:rFonts w:ascii="Times New Roman" w:eastAsia="仿宋_GB2312" w:hAnsi="Times New Roman" w:cs="Times New Roman" w:hint="eastAsia"/>
          <w:sz w:val="32"/>
          <w:szCs w:val="32"/>
        </w:rPr>
        <w:t>修复领域的现行标准共</w:t>
      </w:r>
      <w:r>
        <w:rPr>
          <w:rFonts w:ascii="Times New Roman" w:eastAsia="仿宋_GB2312" w:hAnsi="Times New Roman" w:cs="Times New Roman"/>
          <w:sz w:val="32"/>
          <w:szCs w:val="32"/>
        </w:rPr>
        <w:t>214</w:t>
      </w:r>
      <w:r w:rsidRPr="00B94A9D">
        <w:rPr>
          <w:rFonts w:ascii="Times New Roman" w:eastAsia="仿宋_GB2312" w:hAnsi="Times New Roman" w:cs="Times New Roman"/>
          <w:sz w:val="32"/>
          <w:szCs w:val="32"/>
        </w:rPr>
        <w:t>项，主要分布在生态环境部等相关部门。</w:t>
      </w:r>
      <w:r>
        <w:rPr>
          <w:rFonts w:ascii="Times New Roman" w:eastAsia="仿宋_GB2312" w:hAnsi="Times New Roman" w:cs="Times New Roman" w:hint="eastAsia"/>
          <w:sz w:val="32"/>
          <w:szCs w:val="32"/>
        </w:rPr>
        <w:t>但聚焦有色冶炼场地的现行标准暂无。可参照</w:t>
      </w:r>
      <w:r w:rsidR="00682A86">
        <w:rPr>
          <w:rFonts w:ascii="Times New Roman" w:eastAsia="仿宋_GB2312" w:hAnsi="Times New Roman" w:cs="Times New Roman" w:hint="eastAsia"/>
          <w:sz w:val="32"/>
          <w:szCs w:val="32"/>
        </w:rPr>
        <w:t>执行的</w:t>
      </w:r>
      <w:r>
        <w:rPr>
          <w:rFonts w:ascii="Times New Roman" w:eastAsia="仿宋_GB2312" w:hAnsi="Times New Roman" w:cs="Times New Roman" w:hint="eastAsia"/>
          <w:sz w:val="32"/>
          <w:szCs w:val="32"/>
        </w:rPr>
        <w:t>标准主要有：《一般工业固体废物贮存、处置场污染控制标准</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GB18598</w:t>
      </w:r>
      <w:r>
        <w:rPr>
          <w:rFonts w:ascii="Times New Roman" w:eastAsia="仿宋_GB2312" w:hAnsi="Times New Roman" w:cs="Times New Roman" w:hint="eastAsia"/>
          <w:sz w:val="32"/>
          <w:szCs w:val="32"/>
        </w:rPr>
        <w:t>》、《地下水环境监测技术规范</w:t>
      </w:r>
      <w:r>
        <w:rPr>
          <w:rFonts w:ascii="Times New Roman" w:eastAsia="仿宋_GB2312" w:hAnsi="Times New Roman" w:cs="Times New Roman" w:hint="eastAsia"/>
          <w:sz w:val="32"/>
          <w:szCs w:val="32"/>
        </w:rPr>
        <w:t>H</w:t>
      </w:r>
      <w:r>
        <w:rPr>
          <w:rFonts w:ascii="Times New Roman" w:eastAsia="仿宋_GB2312" w:hAnsi="Times New Roman" w:cs="Times New Roman"/>
          <w:sz w:val="32"/>
          <w:szCs w:val="32"/>
        </w:rPr>
        <w:t>J</w:t>
      </w:r>
      <w:r>
        <w:rPr>
          <w:rFonts w:ascii="Times New Roman" w:eastAsia="仿宋_GB2312" w:hAnsi="Times New Roman" w:cs="Times New Roman" w:hint="eastAsia"/>
          <w:sz w:val="32"/>
          <w:szCs w:val="32"/>
        </w:rPr>
        <w:t>/T</w:t>
      </w:r>
      <w:r>
        <w:rPr>
          <w:rFonts w:ascii="Times New Roman" w:eastAsia="仿宋_GB2312" w:hAnsi="Times New Roman" w:cs="Times New Roman"/>
          <w:sz w:val="32"/>
          <w:szCs w:val="32"/>
        </w:rPr>
        <w:t>164</w:t>
      </w:r>
      <w:r>
        <w:rPr>
          <w:rFonts w:ascii="Times New Roman" w:eastAsia="仿宋_GB2312" w:hAnsi="Times New Roman" w:cs="Times New Roman" w:hint="eastAsia"/>
          <w:sz w:val="32"/>
          <w:szCs w:val="32"/>
        </w:rPr>
        <w:t>》、《土壤环境监测技术规范</w:t>
      </w:r>
      <w:r>
        <w:rPr>
          <w:rFonts w:ascii="Times New Roman" w:eastAsia="仿宋_GB2312" w:hAnsi="Times New Roman" w:cs="Times New Roman" w:hint="eastAsia"/>
          <w:sz w:val="32"/>
          <w:szCs w:val="32"/>
        </w:rPr>
        <w:t>H</w:t>
      </w:r>
      <w:r>
        <w:rPr>
          <w:rFonts w:ascii="Times New Roman" w:eastAsia="仿宋_GB2312" w:hAnsi="Times New Roman" w:cs="Times New Roman"/>
          <w:sz w:val="32"/>
          <w:szCs w:val="32"/>
        </w:rPr>
        <w:t>J</w:t>
      </w:r>
      <w:r>
        <w:rPr>
          <w:rFonts w:ascii="Times New Roman" w:eastAsia="仿宋_GB2312" w:hAnsi="Times New Roman" w:cs="Times New Roman" w:hint="eastAsia"/>
          <w:sz w:val="32"/>
          <w:szCs w:val="32"/>
        </w:rPr>
        <w:t>/T</w:t>
      </w:r>
      <w:r>
        <w:rPr>
          <w:rFonts w:ascii="Times New Roman" w:eastAsia="仿宋_GB2312" w:hAnsi="Times New Roman" w:cs="Times New Roman"/>
          <w:sz w:val="32"/>
          <w:szCs w:val="32"/>
        </w:rPr>
        <w:t>166</w:t>
      </w:r>
      <w:r>
        <w:rPr>
          <w:rFonts w:ascii="Times New Roman" w:eastAsia="仿宋_GB2312" w:hAnsi="Times New Roman" w:cs="Times New Roman" w:hint="eastAsia"/>
          <w:sz w:val="32"/>
          <w:szCs w:val="32"/>
        </w:rPr>
        <w:t>》、《土壤环境监测点位布设技术导则》、《企业搬迁、停产、倒闭污染环境管理规范》、《污染地块治理与修复效果评估技术导则》、《土壤环境调查评估技术规范》、《场地环境调查技术导则</w:t>
      </w:r>
      <w:r>
        <w:rPr>
          <w:rFonts w:ascii="Times New Roman" w:eastAsia="仿宋_GB2312" w:hAnsi="Times New Roman" w:cs="Times New Roman" w:hint="eastAsia"/>
          <w:sz w:val="32"/>
          <w:szCs w:val="32"/>
        </w:rPr>
        <w:t>H</w:t>
      </w:r>
      <w:r>
        <w:rPr>
          <w:rFonts w:ascii="Times New Roman" w:eastAsia="仿宋_GB2312" w:hAnsi="Times New Roman" w:cs="Times New Roman"/>
          <w:sz w:val="32"/>
          <w:szCs w:val="32"/>
        </w:rPr>
        <w:t>J25.1</w:t>
      </w:r>
      <w:r>
        <w:rPr>
          <w:rFonts w:ascii="Times New Roman" w:eastAsia="仿宋_GB2312" w:hAnsi="Times New Roman" w:cs="Times New Roman" w:hint="eastAsia"/>
          <w:sz w:val="32"/>
          <w:szCs w:val="32"/>
        </w:rPr>
        <w:t>》、《污染场地风险评估技术导则</w:t>
      </w:r>
      <w:r>
        <w:rPr>
          <w:rFonts w:ascii="Times New Roman" w:eastAsia="仿宋_GB2312" w:hAnsi="Times New Roman" w:cs="Times New Roman" w:hint="eastAsia"/>
          <w:sz w:val="32"/>
          <w:szCs w:val="32"/>
        </w:rPr>
        <w:t>H</w:t>
      </w:r>
      <w:r>
        <w:rPr>
          <w:rFonts w:ascii="Times New Roman" w:eastAsia="仿宋_GB2312" w:hAnsi="Times New Roman" w:cs="Times New Roman"/>
          <w:sz w:val="32"/>
          <w:szCs w:val="32"/>
        </w:rPr>
        <w:t>J25.3</w:t>
      </w:r>
      <w:r>
        <w:rPr>
          <w:rFonts w:ascii="Times New Roman" w:eastAsia="仿宋_GB2312" w:hAnsi="Times New Roman" w:cs="Times New Roman" w:hint="eastAsia"/>
          <w:sz w:val="32"/>
          <w:szCs w:val="32"/>
        </w:rPr>
        <w:t>》、《污染地块治理与修复环境监理技术导则》、</w:t>
      </w:r>
      <w:r w:rsidR="00682A86">
        <w:rPr>
          <w:rFonts w:ascii="Times New Roman" w:eastAsia="仿宋_GB2312" w:hAnsi="Times New Roman" w:cs="Times New Roman" w:hint="eastAsia"/>
          <w:sz w:val="32"/>
          <w:szCs w:val="32"/>
        </w:rPr>
        <w:t>《污染场地风险评估技术导则》《污染地块风险管控实施技术导则》、《污染地块治理与修</w:t>
      </w:r>
      <w:r w:rsidR="00682A86">
        <w:rPr>
          <w:rFonts w:ascii="Times New Roman" w:eastAsia="仿宋_GB2312" w:hAnsi="Times New Roman" w:cs="Times New Roman" w:hint="eastAsia"/>
          <w:sz w:val="32"/>
          <w:szCs w:val="32"/>
        </w:rPr>
        <w:lastRenderedPageBreak/>
        <w:t>复环境监理技术导则》、《异位热解吸附技术修复污染土壤工程技术规范》、《固化稳定化修复工程技术规范》、《污染土壤异位通风与生物堆耦合修复技术规范》等</w:t>
      </w:r>
      <w:r w:rsidR="00682A86">
        <w:rPr>
          <w:rFonts w:ascii="Times New Roman" w:eastAsia="仿宋_GB2312" w:hAnsi="Times New Roman" w:cs="Times New Roman" w:hint="eastAsia"/>
          <w:sz w:val="32"/>
          <w:szCs w:val="32"/>
        </w:rPr>
        <w:t>1</w:t>
      </w:r>
      <w:r w:rsidR="00682A86">
        <w:rPr>
          <w:rFonts w:ascii="Times New Roman" w:eastAsia="仿宋_GB2312" w:hAnsi="Times New Roman" w:cs="Times New Roman"/>
          <w:sz w:val="32"/>
          <w:szCs w:val="32"/>
        </w:rPr>
        <w:t>6</w:t>
      </w:r>
      <w:r w:rsidR="00682A86">
        <w:rPr>
          <w:rFonts w:ascii="Times New Roman" w:eastAsia="仿宋_GB2312" w:hAnsi="Times New Roman" w:cs="Times New Roman" w:hint="eastAsia"/>
          <w:sz w:val="32"/>
          <w:szCs w:val="32"/>
        </w:rPr>
        <w:t>项。</w:t>
      </w:r>
    </w:p>
    <w:p w14:paraId="3436A5D4" w14:textId="27C8F272" w:rsidR="00682A86" w:rsidRDefault="00682A86" w:rsidP="00A0025A">
      <w:pPr>
        <w:spacing w:line="4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经研究，先行标准存在的问题主要包括两个方面：</w:t>
      </w:r>
      <w:r w:rsidRPr="00682A86">
        <w:rPr>
          <w:rFonts w:ascii="Times New Roman" w:eastAsia="仿宋_GB2312" w:hAnsi="Times New Roman" w:cs="Times New Roman" w:hint="eastAsia"/>
          <w:sz w:val="32"/>
          <w:szCs w:val="32"/>
        </w:rPr>
        <w:t>①</w:t>
      </w:r>
      <w:r>
        <w:rPr>
          <w:rFonts w:ascii="Times New Roman" w:eastAsia="仿宋_GB2312" w:hAnsi="Times New Roman" w:cs="Times New Roman" w:hint="eastAsia"/>
          <w:sz w:val="32"/>
          <w:szCs w:val="32"/>
        </w:rPr>
        <w:t>是针对性和适用性不强，现行土壤和地下水修复技术主要针对目标范围较广，多考虑多种类型工业污染场地，针对的目标污染物范围较大，如重金属、有机污染、石油污染等多种类型污染物。</w:t>
      </w:r>
      <w:r>
        <w:rPr>
          <w:rFonts w:ascii="仿宋" w:eastAsia="仿宋" w:hAnsi="仿宋" w:cs="Times New Roman" w:hint="eastAsia"/>
          <w:sz w:val="32"/>
          <w:szCs w:val="32"/>
        </w:rPr>
        <w:t>②</w:t>
      </w:r>
      <w:r>
        <w:rPr>
          <w:rFonts w:ascii="Times New Roman" w:eastAsia="仿宋_GB2312" w:hAnsi="Times New Roman" w:cs="Times New Roman" w:hint="eastAsia"/>
          <w:sz w:val="32"/>
          <w:szCs w:val="32"/>
        </w:rPr>
        <w:t>是尚未有标准关注于土壤</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地下水协同修复技术，</w:t>
      </w:r>
      <w:r w:rsidRPr="00682A86">
        <w:rPr>
          <w:rFonts w:ascii="Times New Roman" w:eastAsia="仿宋_GB2312" w:hAnsi="Times New Roman" w:cs="Times New Roman"/>
          <w:sz w:val="32"/>
          <w:szCs w:val="32"/>
        </w:rPr>
        <w:t>2021</w:t>
      </w:r>
      <w:r w:rsidRPr="00682A86">
        <w:rPr>
          <w:rFonts w:ascii="Times New Roman" w:eastAsia="仿宋_GB2312" w:hAnsi="Times New Roman" w:cs="Times New Roman"/>
          <w:sz w:val="32"/>
          <w:szCs w:val="32"/>
        </w:rPr>
        <w:t>年中共中央、国务院印发《关于深入打好污染防治攻坚战的意见》，提出</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强化地水污染协同防止</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的要求，这一要求体现了</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土水</w:t>
      </w:r>
      <w:r>
        <w:rPr>
          <w:rFonts w:ascii="Times New Roman" w:eastAsia="仿宋_GB2312" w:hAnsi="Times New Roman" w:cs="Times New Roman" w:hint="eastAsia"/>
          <w:sz w:val="32"/>
          <w:szCs w:val="32"/>
        </w:rPr>
        <w:t>协同</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的修复理念。土水共治可以大幅缩短场地修复周期，也减少了修复工程实施对场地的二次损害。目前，在</w:t>
      </w:r>
      <w:r>
        <w:rPr>
          <w:rFonts w:ascii="Times New Roman" w:eastAsia="仿宋_GB2312" w:hAnsi="Times New Roman" w:cs="Times New Roman" w:hint="eastAsia"/>
          <w:sz w:val="32"/>
          <w:szCs w:val="32"/>
        </w:rPr>
        <w:t>现行标准中尚未考虑到土壤</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地下水协同修复技术。</w:t>
      </w:r>
    </w:p>
    <w:p w14:paraId="628122B9" w14:textId="7FBB684F" w:rsidR="006159E7" w:rsidRDefault="00682A86" w:rsidP="00A0025A">
      <w:pPr>
        <w:spacing w:line="480" w:lineRule="exact"/>
        <w:ind w:firstLineChars="200" w:firstLine="640"/>
        <w:rPr>
          <w:rFonts w:ascii="Times New Roman" w:eastAsia="仿宋_GB2312" w:hAnsi="Times New Roman" w:cs="Times New Roman"/>
          <w:sz w:val="32"/>
          <w:szCs w:val="32"/>
        </w:rPr>
      </w:pPr>
      <w:r w:rsidRPr="00682A86">
        <w:rPr>
          <w:rFonts w:ascii="Times New Roman" w:eastAsia="仿宋_GB2312" w:hAnsi="Times New Roman" w:cs="Times New Roman" w:hint="eastAsia"/>
          <w:sz w:val="32"/>
          <w:szCs w:val="32"/>
        </w:rPr>
        <w:t>基于此，</w:t>
      </w:r>
      <w:r>
        <w:rPr>
          <w:rFonts w:ascii="Times New Roman" w:eastAsia="仿宋_GB2312" w:hAnsi="Times New Roman" w:cs="Times New Roman" w:hint="eastAsia"/>
          <w:sz w:val="32"/>
          <w:szCs w:val="32"/>
        </w:rPr>
        <w:t>集成</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sidRPr="00682A86">
        <w:rPr>
          <w:rFonts w:ascii="Times New Roman" w:eastAsia="仿宋_GB2312" w:hAnsi="Times New Roman" w:cs="Times New Roman" w:hint="eastAsia"/>
          <w:sz w:val="32"/>
          <w:szCs w:val="32"/>
        </w:rPr>
        <w:t>“</w:t>
      </w:r>
      <w:r w:rsidR="00151100">
        <w:rPr>
          <w:rFonts w:ascii="Times New Roman" w:eastAsia="仿宋_GB2312" w:hAnsi="Times New Roman" w:cs="Times New Roman" w:hint="eastAsia"/>
          <w:sz w:val="32"/>
          <w:szCs w:val="32"/>
        </w:rPr>
        <w:t>土壤多金属同步</w:t>
      </w:r>
      <w:r w:rsidRPr="00682A86">
        <w:rPr>
          <w:rFonts w:ascii="Times New Roman" w:eastAsia="仿宋_GB2312" w:hAnsi="Times New Roman" w:cs="Times New Roman" w:hint="eastAsia"/>
          <w:sz w:val="32"/>
          <w:szCs w:val="32"/>
        </w:rPr>
        <w:t>固化</w:t>
      </w:r>
      <w:r w:rsidR="00151100">
        <w:rPr>
          <w:rFonts w:ascii="Times New Roman" w:eastAsia="仿宋_GB2312" w:hAnsi="Times New Roman" w:cs="Times New Roman" w:hint="eastAsia"/>
          <w:sz w:val="32"/>
          <w:szCs w:val="32"/>
        </w:rPr>
        <w:t>/</w:t>
      </w:r>
      <w:r w:rsidRPr="00682A86">
        <w:rPr>
          <w:rFonts w:ascii="Times New Roman" w:eastAsia="仿宋_GB2312" w:hAnsi="Times New Roman" w:cs="Times New Roman"/>
          <w:sz w:val="32"/>
          <w:szCs w:val="32"/>
        </w:rPr>
        <w:t>稳定化</w:t>
      </w:r>
      <w:r w:rsidR="00151100">
        <w:rPr>
          <w:rFonts w:ascii="Times New Roman" w:eastAsia="仿宋_GB2312" w:hAnsi="Times New Roman" w:cs="Times New Roman" w:hint="eastAsia"/>
          <w:sz w:val="32"/>
          <w:szCs w:val="32"/>
        </w:rPr>
        <w:t>修复技术</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w:t>
      </w:r>
      <w:r w:rsidR="00151100">
        <w:rPr>
          <w:rFonts w:ascii="Times New Roman" w:eastAsia="仿宋_GB2312" w:hAnsi="Times New Roman" w:cs="Times New Roman" w:hint="eastAsia"/>
          <w:sz w:val="32"/>
          <w:szCs w:val="32"/>
        </w:rPr>
        <w:t>“冶炼场地分级分区治理体系”、</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地下水精准修复及分级阻断</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土壤</w:t>
      </w:r>
      <w:proofErr w:type="gramStart"/>
      <w:r w:rsidRPr="00682A86">
        <w:rPr>
          <w:rFonts w:ascii="Times New Roman" w:eastAsia="仿宋_GB2312" w:hAnsi="Times New Roman" w:cs="Times New Roman"/>
          <w:sz w:val="32"/>
          <w:szCs w:val="32"/>
        </w:rPr>
        <w:t>适</w:t>
      </w:r>
      <w:proofErr w:type="gramEnd"/>
      <w:r w:rsidRPr="00682A86">
        <w:rPr>
          <w:rFonts w:ascii="Times New Roman" w:eastAsia="仿宋_GB2312" w:hAnsi="Times New Roman" w:cs="Times New Roman"/>
          <w:sz w:val="32"/>
          <w:szCs w:val="32"/>
        </w:rPr>
        <w:t>生性调控</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微生物</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植物联合生态重构</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等修复技术，优化场地修复材料、装备和技术组合，建立</w:t>
      </w:r>
      <w:r w:rsidR="00290CE6">
        <w:rPr>
          <w:rFonts w:ascii="Times New Roman" w:eastAsia="仿宋_GB2312" w:hAnsi="Times New Roman" w:cs="Times New Roman"/>
          <w:sz w:val="32"/>
          <w:szCs w:val="32"/>
        </w:rPr>
        <w:t>有色金属冶炼场地土壤</w:t>
      </w:r>
      <w:r w:rsidR="00290CE6">
        <w:rPr>
          <w:rFonts w:ascii="Times New Roman" w:eastAsia="仿宋_GB2312" w:hAnsi="Times New Roman" w:cs="Times New Roman"/>
          <w:sz w:val="32"/>
          <w:szCs w:val="32"/>
        </w:rPr>
        <w:t>-</w:t>
      </w:r>
      <w:r w:rsidR="00290CE6">
        <w:rPr>
          <w:rFonts w:ascii="Times New Roman" w:eastAsia="仿宋_GB2312" w:hAnsi="Times New Roman" w:cs="Times New Roman"/>
          <w:sz w:val="32"/>
          <w:szCs w:val="32"/>
        </w:rPr>
        <w:t>地下水</w:t>
      </w:r>
      <w:r w:rsidRPr="00682A86">
        <w:rPr>
          <w:rFonts w:ascii="Times New Roman" w:eastAsia="仿宋_GB2312" w:hAnsi="Times New Roman" w:cs="Times New Roman"/>
          <w:sz w:val="32"/>
          <w:szCs w:val="32"/>
        </w:rPr>
        <w:t>重金属协同修复技术集成体系。统筹推进相关国标、行标、</w:t>
      </w:r>
      <w:proofErr w:type="gramStart"/>
      <w:r w:rsidRPr="00682A86">
        <w:rPr>
          <w:rFonts w:ascii="Times New Roman" w:eastAsia="仿宋_GB2312" w:hAnsi="Times New Roman" w:cs="Times New Roman"/>
          <w:sz w:val="32"/>
          <w:szCs w:val="32"/>
        </w:rPr>
        <w:t>团标及</w:t>
      </w:r>
      <w:proofErr w:type="gramEnd"/>
      <w:r w:rsidRPr="00682A86">
        <w:rPr>
          <w:rFonts w:ascii="Times New Roman" w:eastAsia="仿宋_GB2312" w:hAnsi="Times New Roman" w:cs="Times New Roman"/>
          <w:sz w:val="32"/>
          <w:szCs w:val="32"/>
        </w:rPr>
        <w:t>地方标准建设，形成行业特色高度体现、主要业务全面覆盖、多级标准相互配合的有色冶炼场地</w:t>
      </w:r>
      <w:r>
        <w:rPr>
          <w:rFonts w:ascii="Times New Roman" w:eastAsia="仿宋_GB2312" w:hAnsi="Times New Roman" w:cs="Times New Roman" w:hint="eastAsia"/>
          <w:sz w:val="32"/>
          <w:szCs w:val="32"/>
        </w:rPr>
        <w:t>协同</w:t>
      </w:r>
      <w:r w:rsidRPr="00682A86">
        <w:rPr>
          <w:rFonts w:ascii="Times New Roman" w:eastAsia="仿宋_GB2312" w:hAnsi="Times New Roman" w:cs="Times New Roman"/>
          <w:sz w:val="32"/>
          <w:szCs w:val="32"/>
        </w:rPr>
        <w:t>修复标准体系</w:t>
      </w:r>
      <w:r w:rsidR="00151100">
        <w:rPr>
          <w:rFonts w:ascii="Times New Roman" w:eastAsia="仿宋_GB2312" w:hAnsi="Times New Roman" w:cs="Times New Roman" w:hint="eastAsia"/>
          <w:sz w:val="32"/>
          <w:szCs w:val="32"/>
        </w:rPr>
        <w:t>，</w:t>
      </w:r>
      <w:r w:rsidRPr="00682A86">
        <w:rPr>
          <w:rFonts w:ascii="Times New Roman" w:eastAsia="仿宋_GB2312" w:hAnsi="Times New Roman" w:cs="Times New Roman" w:hint="eastAsia"/>
          <w:sz w:val="32"/>
          <w:szCs w:val="32"/>
        </w:rPr>
        <w:t>确保有色金属冶炼场地</w:t>
      </w:r>
      <w:r w:rsidR="00151100">
        <w:rPr>
          <w:rFonts w:ascii="Times New Roman" w:eastAsia="仿宋_GB2312" w:hAnsi="Times New Roman" w:cs="Times New Roman" w:hint="eastAsia"/>
          <w:sz w:val="32"/>
          <w:szCs w:val="32"/>
        </w:rPr>
        <w:t>土壤</w:t>
      </w:r>
      <w:r w:rsidR="00151100">
        <w:rPr>
          <w:rFonts w:ascii="Times New Roman" w:eastAsia="仿宋_GB2312" w:hAnsi="Times New Roman" w:cs="Times New Roman" w:hint="eastAsia"/>
          <w:sz w:val="32"/>
          <w:szCs w:val="32"/>
        </w:rPr>
        <w:t>-</w:t>
      </w:r>
      <w:r w:rsidR="00151100">
        <w:rPr>
          <w:rFonts w:ascii="Times New Roman" w:eastAsia="仿宋_GB2312" w:hAnsi="Times New Roman" w:cs="Times New Roman" w:hint="eastAsia"/>
          <w:sz w:val="32"/>
          <w:szCs w:val="32"/>
        </w:rPr>
        <w:t>地下水修复技术实施落地</w:t>
      </w:r>
      <w:r w:rsidRPr="00682A86">
        <w:rPr>
          <w:rFonts w:ascii="Times New Roman" w:eastAsia="仿宋_GB2312" w:hAnsi="Times New Roman" w:cs="Times New Roman" w:hint="eastAsia"/>
          <w:sz w:val="32"/>
          <w:szCs w:val="32"/>
        </w:rPr>
        <w:t>。</w:t>
      </w:r>
    </w:p>
    <w:p w14:paraId="1EF4CCA2" w14:textId="78479864" w:rsidR="00AB40B5" w:rsidRDefault="00AB40B5" w:rsidP="00AB40B5">
      <w:pPr>
        <w:pStyle w:val="aa"/>
        <w:adjustRightInd w:val="0"/>
        <w:spacing w:beforeLines="100" w:before="312" w:after="0"/>
        <w:jc w:val="left"/>
        <w:rPr>
          <w:rFonts w:ascii="Times New Roman" w:eastAsia="黑体" w:hAnsi="Times New Roman" w:cs="Times New Roman"/>
        </w:rPr>
      </w:pPr>
      <w:bookmarkStart w:id="25" w:name="_Toc17515"/>
      <w:bookmarkStart w:id="26" w:name="_Toc14712"/>
      <w:bookmarkStart w:id="27" w:name="_Toc16999"/>
      <w:bookmarkStart w:id="28" w:name="_Toc136984240"/>
      <w:r>
        <w:rPr>
          <w:rFonts w:ascii="Times New Roman" w:eastAsia="黑体" w:hAnsi="Times New Roman" w:cs="Times New Roman"/>
        </w:rPr>
        <w:t>第</w:t>
      </w:r>
      <w:r>
        <w:rPr>
          <w:rFonts w:ascii="Times New Roman" w:eastAsia="黑体" w:hAnsi="Times New Roman" w:cs="Times New Roman" w:hint="eastAsia"/>
        </w:rPr>
        <w:t>四</w:t>
      </w:r>
      <w:r>
        <w:rPr>
          <w:rFonts w:ascii="Times New Roman" w:eastAsia="黑体" w:hAnsi="Times New Roman" w:cs="Times New Roman"/>
        </w:rPr>
        <w:t>章</w:t>
      </w:r>
      <w:r w:rsidR="00266793">
        <w:rPr>
          <w:rFonts w:ascii="Times New Roman" w:eastAsia="黑体" w:hAnsi="Times New Roman" w:cs="Times New Roman" w:hint="eastAsia"/>
        </w:rPr>
        <w:t xml:space="preserve"> </w:t>
      </w:r>
      <w:r>
        <w:rPr>
          <w:rFonts w:ascii="Times New Roman" w:eastAsia="黑体" w:hAnsi="Times New Roman" w:cs="Times New Roman"/>
        </w:rPr>
        <w:t>与国外同类标准水平的对比</w:t>
      </w:r>
      <w:bookmarkEnd w:id="25"/>
      <w:bookmarkEnd w:id="26"/>
      <w:bookmarkEnd w:id="27"/>
      <w:bookmarkEnd w:id="28"/>
    </w:p>
    <w:p w14:paraId="6FD023A8" w14:textId="5BEE5BED" w:rsidR="00AB40B5" w:rsidRDefault="00AB40B5" w:rsidP="00A0025A">
      <w:pPr>
        <w:spacing w:line="48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未采用国际标准，国外无同类标准</w:t>
      </w:r>
      <w:r>
        <w:rPr>
          <w:rFonts w:ascii="Times New Roman" w:eastAsia="仿宋_GB2312" w:hAnsi="Times New Roman" w:cs="Times New Roman" w:hint="eastAsia"/>
          <w:sz w:val="28"/>
          <w:szCs w:val="28"/>
        </w:rPr>
        <w:t>。</w:t>
      </w:r>
    </w:p>
    <w:p w14:paraId="39CA77FC" w14:textId="77777777" w:rsidR="00AB40B5" w:rsidRDefault="00AB40B5" w:rsidP="00AB40B5">
      <w:pPr>
        <w:pStyle w:val="aa"/>
        <w:adjustRightInd w:val="0"/>
        <w:spacing w:beforeLines="100" w:before="312" w:after="0"/>
        <w:jc w:val="left"/>
        <w:rPr>
          <w:rFonts w:ascii="Times New Roman" w:eastAsia="黑体" w:hAnsi="Times New Roman" w:cs="Times New Roman"/>
        </w:rPr>
      </w:pPr>
      <w:bookmarkStart w:id="29" w:name="_Toc19594"/>
      <w:bookmarkStart w:id="30" w:name="_Toc136984241"/>
      <w:r>
        <w:rPr>
          <w:rFonts w:ascii="Times New Roman" w:eastAsia="黑体" w:hAnsi="Times New Roman" w:cs="Times New Roman" w:hint="eastAsia"/>
        </w:rPr>
        <w:t>第五章</w:t>
      </w:r>
      <w:r>
        <w:rPr>
          <w:rFonts w:ascii="Times New Roman" w:eastAsia="黑体" w:hAnsi="Times New Roman" w:cs="Times New Roman" w:hint="eastAsia"/>
        </w:rPr>
        <w:t xml:space="preserve"> </w:t>
      </w:r>
      <w:r>
        <w:rPr>
          <w:rFonts w:ascii="Times New Roman" w:eastAsia="黑体" w:hAnsi="Times New Roman" w:cs="Times New Roman"/>
        </w:rPr>
        <w:t>与有关的现行法律、法规和强制性标准的关系</w:t>
      </w:r>
      <w:bookmarkEnd w:id="29"/>
      <w:bookmarkEnd w:id="30"/>
    </w:p>
    <w:p w14:paraId="7651F6BC" w14:textId="6982EDCF" w:rsidR="00AB40B5" w:rsidRDefault="00AB40B5" w:rsidP="00A0025A">
      <w:pPr>
        <w:spacing w:line="480" w:lineRule="exact"/>
        <w:ind w:firstLineChars="200" w:firstLine="640"/>
        <w:rPr>
          <w:rFonts w:ascii="Times New Roman" w:eastAsia="仿宋_GB2312" w:hAnsi="Times New Roman" w:cs="Times New Roman"/>
          <w:sz w:val="32"/>
          <w:szCs w:val="32"/>
        </w:rPr>
      </w:pPr>
      <w:r w:rsidRPr="00AB40B5">
        <w:rPr>
          <w:rFonts w:ascii="Times New Roman" w:eastAsia="仿宋_GB2312" w:hAnsi="Times New Roman" w:cs="Times New Roman"/>
          <w:sz w:val="32"/>
          <w:szCs w:val="32"/>
        </w:rPr>
        <w:t>2016</w:t>
      </w:r>
      <w:r w:rsidRPr="00AB40B5">
        <w:rPr>
          <w:rFonts w:ascii="Times New Roman" w:eastAsia="仿宋_GB2312" w:hAnsi="Times New Roman" w:cs="Times New Roman"/>
          <w:sz w:val="32"/>
          <w:szCs w:val="32"/>
        </w:rPr>
        <w:t>年国务院印发《土壤污染防治行动计划》，</w:t>
      </w:r>
      <w:r w:rsidRPr="00AB40B5">
        <w:rPr>
          <w:rFonts w:ascii="Times New Roman" w:eastAsia="仿宋_GB2312" w:hAnsi="Times New Roman" w:cs="Times New Roman"/>
          <w:sz w:val="32"/>
          <w:szCs w:val="32"/>
        </w:rPr>
        <w:t>2019</w:t>
      </w:r>
      <w:r w:rsidRPr="00AB40B5">
        <w:rPr>
          <w:rFonts w:ascii="Times New Roman" w:eastAsia="仿宋_GB2312" w:hAnsi="Times New Roman" w:cs="Times New Roman"/>
          <w:sz w:val="32"/>
          <w:szCs w:val="32"/>
        </w:rPr>
        <w:t>年《中华人民共和国土壤污染防治法》正式施行，要求重点监</w:t>
      </w:r>
      <w:r w:rsidRPr="00AB40B5">
        <w:rPr>
          <w:rFonts w:ascii="Times New Roman" w:eastAsia="仿宋_GB2312" w:hAnsi="Times New Roman" w:cs="Times New Roman"/>
          <w:sz w:val="32"/>
          <w:szCs w:val="32"/>
        </w:rPr>
        <w:lastRenderedPageBreak/>
        <w:t>管有色金属采选冶炼行业，加强土壤污染防治，保障公众健康，推动土壤资源永续利用，推进生态文明建设。</w:t>
      </w:r>
      <w:r w:rsidRPr="00AB40B5">
        <w:rPr>
          <w:rFonts w:ascii="Times New Roman" w:eastAsia="仿宋_GB2312" w:hAnsi="Times New Roman" w:cs="Times New Roman"/>
          <w:sz w:val="32"/>
          <w:szCs w:val="32"/>
        </w:rPr>
        <w:t>2019</w:t>
      </w:r>
      <w:r w:rsidRPr="00AB40B5">
        <w:rPr>
          <w:rFonts w:ascii="Times New Roman" w:eastAsia="仿宋_GB2312" w:hAnsi="Times New Roman" w:cs="Times New Roman"/>
          <w:sz w:val="32"/>
          <w:szCs w:val="32"/>
        </w:rPr>
        <w:t>年发布的《地下水污染防治实施方案》中也提出要严控有色金属冶炼等行业环境风险，监控地下水污染源，遏制地下水污染加剧趋势的要求。</w:t>
      </w:r>
      <w:r w:rsidRPr="00682A86">
        <w:rPr>
          <w:rFonts w:ascii="Times New Roman" w:eastAsia="仿宋_GB2312" w:hAnsi="Times New Roman" w:cs="Times New Roman"/>
          <w:sz w:val="32"/>
          <w:szCs w:val="32"/>
        </w:rPr>
        <w:t>2021</w:t>
      </w:r>
      <w:r w:rsidRPr="00682A86">
        <w:rPr>
          <w:rFonts w:ascii="Times New Roman" w:eastAsia="仿宋_GB2312" w:hAnsi="Times New Roman" w:cs="Times New Roman"/>
          <w:sz w:val="32"/>
          <w:szCs w:val="32"/>
        </w:rPr>
        <w:t>年中共中央、国务院印发《关于深入打好污染防治攻坚战的意见》，提出</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强化地水污染协同防止</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的要求，这一要求体现了</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土水</w:t>
      </w:r>
      <w:r>
        <w:rPr>
          <w:rFonts w:ascii="Times New Roman" w:eastAsia="仿宋_GB2312" w:hAnsi="Times New Roman" w:cs="Times New Roman" w:hint="eastAsia"/>
          <w:sz w:val="32"/>
          <w:szCs w:val="32"/>
        </w:rPr>
        <w:t>共治</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的修复理念。</w:t>
      </w:r>
    </w:p>
    <w:p w14:paraId="624986EF" w14:textId="35CCA376" w:rsidR="00AB40B5" w:rsidRDefault="00AB40B5" w:rsidP="00A0025A">
      <w:pPr>
        <w:spacing w:line="480" w:lineRule="exact"/>
        <w:ind w:firstLineChars="200" w:firstLine="640"/>
        <w:rPr>
          <w:rFonts w:ascii="Times New Roman" w:eastAsia="仿宋_GB2312" w:hAnsi="Times New Roman" w:cs="Times New Roman"/>
          <w:sz w:val="32"/>
          <w:szCs w:val="32"/>
        </w:rPr>
      </w:pPr>
      <w:r w:rsidRPr="00AB40B5">
        <w:rPr>
          <w:rFonts w:ascii="Times New Roman" w:eastAsia="仿宋_GB2312" w:hAnsi="Times New Roman" w:cs="Times New Roman" w:hint="eastAsia"/>
          <w:sz w:val="32"/>
          <w:szCs w:val="32"/>
        </w:rPr>
        <w:t>本规范坚持污染修复及生态恢复并行</w:t>
      </w:r>
      <w:r>
        <w:rPr>
          <w:rFonts w:ascii="Times New Roman" w:eastAsia="仿宋_GB2312" w:hAnsi="Times New Roman" w:cs="Times New Roman" w:hint="eastAsia"/>
          <w:sz w:val="32"/>
          <w:szCs w:val="32"/>
        </w:rPr>
        <w:t>、工业污染场地</w:t>
      </w:r>
      <w:r w:rsidRPr="00682A86">
        <w:rPr>
          <w:rFonts w:ascii="Times New Roman" w:eastAsia="仿宋_GB2312" w:hAnsi="Times New Roman" w:cs="Times New Roman"/>
          <w:sz w:val="32"/>
          <w:szCs w:val="32"/>
        </w:rPr>
        <w:t>“</w:t>
      </w:r>
      <w:r w:rsidRPr="00682A86">
        <w:rPr>
          <w:rFonts w:ascii="Times New Roman" w:eastAsia="仿宋_GB2312" w:hAnsi="Times New Roman" w:cs="Times New Roman"/>
          <w:sz w:val="32"/>
          <w:szCs w:val="32"/>
        </w:rPr>
        <w:t>土水</w:t>
      </w:r>
      <w:r>
        <w:rPr>
          <w:rFonts w:ascii="Times New Roman" w:eastAsia="仿宋_GB2312" w:hAnsi="Times New Roman" w:cs="Times New Roman" w:hint="eastAsia"/>
          <w:sz w:val="32"/>
          <w:szCs w:val="32"/>
        </w:rPr>
        <w:t>共治</w:t>
      </w:r>
      <w:r w:rsidRPr="00682A86">
        <w:rPr>
          <w:rFonts w:ascii="Times New Roman" w:eastAsia="仿宋_GB2312" w:hAnsi="Times New Roman" w:cs="Times New Roman"/>
          <w:sz w:val="32"/>
          <w:szCs w:val="32"/>
        </w:rPr>
        <w:t>”</w:t>
      </w:r>
      <w:r w:rsidRPr="00AB40B5">
        <w:rPr>
          <w:rFonts w:ascii="Times New Roman" w:eastAsia="仿宋_GB2312" w:hAnsi="Times New Roman" w:cs="Times New Roman" w:hint="eastAsia"/>
          <w:sz w:val="32"/>
          <w:szCs w:val="32"/>
        </w:rPr>
        <w:t>的</w:t>
      </w:r>
      <w:r>
        <w:rPr>
          <w:rFonts w:ascii="Times New Roman" w:eastAsia="仿宋_GB2312" w:hAnsi="Times New Roman" w:cs="Times New Roman" w:hint="eastAsia"/>
          <w:sz w:val="32"/>
          <w:szCs w:val="32"/>
        </w:rPr>
        <w:t>修复</w:t>
      </w:r>
      <w:r w:rsidRPr="00AB40B5">
        <w:rPr>
          <w:rFonts w:ascii="Times New Roman" w:eastAsia="仿宋_GB2312" w:hAnsi="Times New Roman" w:cs="Times New Roman" w:hint="eastAsia"/>
          <w:sz w:val="32"/>
          <w:szCs w:val="32"/>
        </w:rPr>
        <w:t>理念，明确了有色冶炼重金属污染场地</w:t>
      </w:r>
      <w:r>
        <w:rPr>
          <w:rFonts w:ascii="Times New Roman" w:eastAsia="仿宋_GB2312" w:hAnsi="Times New Roman" w:cs="Times New Roman" w:hint="eastAsia"/>
          <w:sz w:val="32"/>
          <w:szCs w:val="32"/>
        </w:rPr>
        <w:t>土壤</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地下水协同修</w:t>
      </w:r>
      <w:r w:rsidRPr="00AB40B5">
        <w:rPr>
          <w:rFonts w:ascii="Times New Roman" w:eastAsia="仿宋_GB2312" w:hAnsi="Times New Roman" w:cs="Times New Roman" w:hint="eastAsia"/>
          <w:sz w:val="32"/>
          <w:szCs w:val="32"/>
        </w:rPr>
        <w:t>复技术方法和工作流程，与其他相关规范相比，内容更加全面，重点更加突出，更加具有针对性和实用性。为促进有色金属资源合理开发，提升有色冶炼场地生态保护修复工作的科学性和有效性，改善有色冶炼重金属污染区域及周边人民生产、生活环境提供技术依据。</w:t>
      </w:r>
    </w:p>
    <w:p w14:paraId="696197BB" w14:textId="77777777" w:rsidR="00AB40B5" w:rsidRDefault="00AB40B5" w:rsidP="00AB40B5">
      <w:pPr>
        <w:pStyle w:val="aa"/>
        <w:adjustRightInd w:val="0"/>
        <w:snapToGrid w:val="0"/>
        <w:spacing w:beforeLines="100" w:before="312" w:after="0" w:line="360" w:lineRule="auto"/>
        <w:jc w:val="left"/>
        <w:rPr>
          <w:rFonts w:ascii="Times New Roman" w:eastAsia="黑体" w:hAnsi="Times New Roman" w:cs="Times New Roman"/>
        </w:rPr>
      </w:pPr>
      <w:bookmarkStart w:id="31" w:name="_Toc21696"/>
      <w:bookmarkStart w:id="32" w:name="_Toc26830"/>
      <w:bookmarkStart w:id="33" w:name="_Toc390343064"/>
      <w:bookmarkStart w:id="34" w:name="_Toc22403"/>
      <w:bookmarkStart w:id="35" w:name="_Toc136984242"/>
      <w:r>
        <w:rPr>
          <w:rFonts w:ascii="Times New Roman" w:eastAsia="黑体" w:hAnsi="Times New Roman" w:cs="Times New Roman"/>
        </w:rPr>
        <w:t>第</w:t>
      </w:r>
      <w:r>
        <w:rPr>
          <w:rFonts w:ascii="Times New Roman" w:eastAsia="黑体" w:hAnsi="Times New Roman" w:cs="Times New Roman" w:hint="eastAsia"/>
        </w:rPr>
        <w:t>六</w:t>
      </w:r>
      <w:r>
        <w:rPr>
          <w:rFonts w:ascii="Times New Roman" w:eastAsia="黑体" w:hAnsi="Times New Roman" w:cs="Times New Roman"/>
        </w:rPr>
        <w:t>章</w:t>
      </w:r>
      <w:r>
        <w:rPr>
          <w:rFonts w:ascii="Times New Roman" w:eastAsia="黑体" w:hAnsi="Times New Roman" w:cs="Times New Roman"/>
        </w:rPr>
        <w:t xml:space="preserve"> </w:t>
      </w:r>
      <w:r>
        <w:rPr>
          <w:rFonts w:ascii="Times New Roman" w:eastAsia="黑体" w:hAnsi="Times New Roman" w:cs="Times New Roman"/>
        </w:rPr>
        <w:t>重大分歧意见的处理经过和依据</w:t>
      </w:r>
      <w:bookmarkEnd w:id="31"/>
      <w:bookmarkEnd w:id="32"/>
      <w:bookmarkEnd w:id="33"/>
      <w:bookmarkEnd w:id="34"/>
      <w:bookmarkEnd w:id="35"/>
    </w:p>
    <w:p w14:paraId="6006C6D6" w14:textId="77777777" w:rsidR="00AB40B5" w:rsidRDefault="00AB40B5" w:rsidP="00AB40B5">
      <w:pPr>
        <w:spacing w:line="360" w:lineRule="auto"/>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无。</w:t>
      </w:r>
    </w:p>
    <w:p w14:paraId="02F1DE1F" w14:textId="77777777" w:rsidR="00AB40B5" w:rsidRDefault="00AB40B5" w:rsidP="00AB40B5">
      <w:pPr>
        <w:pStyle w:val="aa"/>
        <w:numPr>
          <w:ilvl w:val="0"/>
          <w:numId w:val="3"/>
        </w:numPr>
        <w:adjustRightInd w:val="0"/>
        <w:snapToGrid w:val="0"/>
        <w:spacing w:beforeLines="100" w:before="312" w:after="0" w:line="360" w:lineRule="auto"/>
        <w:jc w:val="left"/>
        <w:rPr>
          <w:rFonts w:ascii="Times New Roman" w:eastAsia="黑体" w:hAnsi="Times New Roman" w:cs="Times New Roman"/>
        </w:rPr>
      </w:pPr>
      <w:bookmarkStart w:id="36" w:name="_Toc28797"/>
      <w:bookmarkStart w:id="37" w:name="_Toc31912"/>
      <w:bookmarkStart w:id="38" w:name="_Toc390343065"/>
      <w:bookmarkStart w:id="39" w:name="_Toc17755"/>
      <w:bookmarkStart w:id="40" w:name="_Toc136984243"/>
      <w:r>
        <w:rPr>
          <w:rFonts w:ascii="Times New Roman" w:eastAsia="黑体" w:hAnsi="Times New Roman" w:cs="Times New Roman"/>
        </w:rPr>
        <w:t>标准作为强制性标准或推荐性标准的建议</w:t>
      </w:r>
      <w:bookmarkEnd w:id="36"/>
      <w:bookmarkEnd w:id="37"/>
      <w:bookmarkEnd w:id="38"/>
      <w:bookmarkEnd w:id="39"/>
      <w:bookmarkEnd w:id="40"/>
    </w:p>
    <w:p w14:paraId="06A7AB41" w14:textId="61B4CC5A" w:rsidR="00AB40B5" w:rsidRDefault="00AB40B5" w:rsidP="00A0025A">
      <w:pPr>
        <w:spacing w:line="480" w:lineRule="exact"/>
        <w:ind w:firstLineChars="200" w:firstLine="640"/>
        <w:rPr>
          <w:rFonts w:ascii="Times New Roman" w:eastAsia="仿宋_GB2312" w:hAnsi="Times New Roman" w:cs="Times New Roman"/>
          <w:sz w:val="32"/>
          <w:szCs w:val="32"/>
        </w:rPr>
      </w:pPr>
      <w:r w:rsidRPr="00AB40B5">
        <w:rPr>
          <w:rFonts w:ascii="Times New Roman" w:eastAsia="仿宋_GB2312" w:hAnsi="Times New Roman" w:cs="Times New Roman" w:hint="eastAsia"/>
          <w:sz w:val="32"/>
          <w:szCs w:val="32"/>
        </w:rPr>
        <w:t>标准是规范</w:t>
      </w:r>
      <w:r w:rsidR="00290CE6">
        <w:rPr>
          <w:rFonts w:ascii="Times New Roman" w:eastAsia="仿宋_GB2312" w:hAnsi="Times New Roman" w:cs="Times New Roman" w:hint="eastAsia"/>
          <w:sz w:val="32"/>
          <w:szCs w:val="32"/>
        </w:rPr>
        <w:t>有色金属冶炼场地土壤</w:t>
      </w:r>
      <w:r w:rsidR="00290CE6">
        <w:rPr>
          <w:rFonts w:ascii="Times New Roman" w:eastAsia="仿宋_GB2312" w:hAnsi="Times New Roman" w:cs="Times New Roman" w:hint="eastAsia"/>
          <w:sz w:val="32"/>
          <w:szCs w:val="32"/>
        </w:rPr>
        <w:t>-</w:t>
      </w:r>
      <w:r w:rsidR="00290CE6">
        <w:rPr>
          <w:rFonts w:ascii="Times New Roman" w:eastAsia="仿宋_GB2312" w:hAnsi="Times New Roman" w:cs="Times New Roman" w:hint="eastAsia"/>
          <w:sz w:val="32"/>
          <w:szCs w:val="32"/>
        </w:rPr>
        <w:t>地下水</w:t>
      </w:r>
      <w:r>
        <w:rPr>
          <w:rFonts w:ascii="Times New Roman" w:eastAsia="仿宋_GB2312" w:hAnsi="Times New Roman" w:cs="Times New Roman" w:hint="eastAsia"/>
          <w:sz w:val="32"/>
          <w:szCs w:val="32"/>
        </w:rPr>
        <w:t>协同修复</w:t>
      </w:r>
      <w:r w:rsidRPr="00AB40B5">
        <w:rPr>
          <w:rFonts w:ascii="Times New Roman" w:eastAsia="仿宋_GB2312" w:hAnsi="Times New Roman" w:cs="Times New Roman" w:hint="eastAsia"/>
          <w:sz w:val="32"/>
          <w:szCs w:val="32"/>
        </w:rPr>
        <w:t>工作的技术要求，具有系统性、全面性和技术指导性，与现行有关技术标准一起配套使用，对</w:t>
      </w:r>
      <w:r>
        <w:rPr>
          <w:rFonts w:ascii="Times New Roman" w:eastAsia="仿宋_GB2312" w:hAnsi="Times New Roman" w:cs="Times New Roman" w:hint="eastAsia"/>
          <w:sz w:val="32"/>
          <w:szCs w:val="32"/>
        </w:rPr>
        <w:t>开展</w:t>
      </w:r>
      <w:r w:rsidRPr="00AB40B5">
        <w:rPr>
          <w:rFonts w:ascii="Times New Roman" w:eastAsia="仿宋_GB2312" w:hAnsi="Times New Roman" w:cs="Times New Roman" w:hint="eastAsia"/>
          <w:sz w:val="32"/>
          <w:szCs w:val="32"/>
        </w:rPr>
        <w:t>生态文明建设、科学推进有色冶炼场地</w:t>
      </w:r>
      <w:r>
        <w:rPr>
          <w:rFonts w:ascii="Times New Roman" w:eastAsia="仿宋_GB2312" w:hAnsi="Times New Roman" w:cs="Times New Roman" w:hint="eastAsia"/>
          <w:sz w:val="32"/>
          <w:szCs w:val="32"/>
        </w:rPr>
        <w:t>污染管控与修复</w:t>
      </w:r>
      <w:r w:rsidRPr="00AB40B5">
        <w:rPr>
          <w:rFonts w:ascii="Times New Roman" w:eastAsia="仿宋_GB2312" w:hAnsi="Times New Roman" w:cs="Times New Roman" w:hint="eastAsia"/>
          <w:sz w:val="32"/>
          <w:szCs w:val="32"/>
        </w:rPr>
        <w:t>具有重要意义。因此，建议作为推荐性团体标准发布实施。</w:t>
      </w:r>
    </w:p>
    <w:p w14:paraId="1C42E55F" w14:textId="2CA01FF9" w:rsidR="00AB40B5" w:rsidRDefault="00AB40B5" w:rsidP="00AB40B5">
      <w:pPr>
        <w:pStyle w:val="aa"/>
        <w:adjustRightInd w:val="0"/>
        <w:snapToGrid w:val="0"/>
        <w:spacing w:beforeLines="100" w:before="312" w:after="0" w:line="360" w:lineRule="auto"/>
        <w:jc w:val="left"/>
        <w:rPr>
          <w:rFonts w:ascii="Times New Roman" w:eastAsia="黑体" w:hAnsi="Times New Roman" w:cs="Times New Roman"/>
        </w:rPr>
      </w:pPr>
      <w:bookmarkStart w:id="41" w:name="_Toc22260"/>
      <w:bookmarkStart w:id="42" w:name="_Toc32038"/>
      <w:bookmarkStart w:id="43" w:name="_Toc9364"/>
      <w:bookmarkStart w:id="44" w:name="_Toc390343066"/>
      <w:bookmarkStart w:id="45" w:name="_Toc136984244"/>
      <w:r>
        <w:rPr>
          <w:rFonts w:ascii="Times New Roman" w:eastAsia="黑体" w:hAnsi="Times New Roman" w:cs="Times New Roman"/>
        </w:rPr>
        <w:t>第</w:t>
      </w:r>
      <w:r>
        <w:rPr>
          <w:rFonts w:ascii="Times New Roman" w:eastAsia="黑体" w:hAnsi="Times New Roman" w:cs="Times New Roman" w:hint="eastAsia"/>
        </w:rPr>
        <w:t>八</w:t>
      </w:r>
      <w:r>
        <w:rPr>
          <w:rFonts w:ascii="Times New Roman" w:eastAsia="黑体" w:hAnsi="Times New Roman" w:cs="Times New Roman"/>
        </w:rPr>
        <w:t>章</w:t>
      </w:r>
      <w:r>
        <w:rPr>
          <w:rFonts w:ascii="Times New Roman" w:eastAsia="黑体" w:hAnsi="Times New Roman" w:cs="Times New Roman"/>
        </w:rPr>
        <w:t xml:space="preserve"> </w:t>
      </w:r>
      <w:r>
        <w:rPr>
          <w:rFonts w:ascii="Times New Roman" w:eastAsia="黑体" w:hAnsi="Times New Roman" w:cs="Times New Roman"/>
        </w:rPr>
        <w:t>贯彻标准的要求和措施建议</w:t>
      </w:r>
      <w:bookmarkEnd w:id="41"/>
      <w:bookmarkEnd w:id="42"/>
      <w:bookmarkEnd w:id="43"/>
      <w:bookmarkEnd w:id="44"/>
      <w:bookmarkEnd w:id="45"/>
    </w:p>
    <w:p w14:paraId="1CF2918E" w14:textId="77777777" w:rsidR="00F91584" w:rsidRPr="00F91584" w:rsidRDefault="00F91584" w:rsidP="00F91584">
      <w:pPr>
        <w:spacing w:line="480" w:lineRule="exact"/>
        <w:ind w:firstLineChars="200" w:firstLine="640"/>
        <w:rPr>
          <w:rFonts w:ascii="Times New Roman" w:eastAsia="仿宋_GB2312" w:hAnsi="Times New Roman" w:cs="Times New Roman"/>
          <w:sz w:val="32"/>
          <w:szCs w:val="32"/>
        </w:rPr>
      </w:pPr>
      <w:r w:rsidRPr="00F91584">
        <w:rPr>
          <w:rFonts w:ascii="Times New Roman" w:eastAsia="仿宋_GB2312" w:hAnsi="Times New Roman" w:cs="Times New Roman" w:hint="eastAsia"/>
          <w:sz w:val="32"/>
          <w:szCs w:val="32"/>
        </w:rPr>
        <w:t>本标准通过对国内外相关文献的整理与分析、实地调研和咨询，总结近几年来国内外有色冶炼场地生态修复技术，</w:t>
      </w:r>
      <w:r w:rsidRPr="00F91584">
        <w:rPr>
          <w:rFonts w:ascii="Times New Roman" w:eastAsia="仿宋_GB2312" w:hAnsi="Times New Roman" w:cs="Times New Roman" w:hint="eastAsia"/>
          <w:sz w:val="32"/>
          <w:szCs w:val="32"/>
        </w:rPr>
        <w:lastRenderedPageBreak/>
        <w:t>从设计、施工、评估、后期监测等方面的有效经验，经现场实际调研并结合资料整合，完成了本标准的制定。</w:t>
      </w:r>
    </w:p>
    <w:p w14:paraId="15F765A8" w14:textId="23E8E96E" w:rsidR="00F91584" w:rsidRPr="00F91584" w:rsidRDefault="00F91584" w:rsidP="00F91584">
      <w:pPr>
        <w:spacing w:line="480" w:lineRule="exact"/>
        <w:ind w:firstLineChars="200" w:firstLine="640"/>
        <w:rPr>
          <w:rFonts w:ascii="Times New Roman" w:eastAsia="仿宋_GB2312" w:hAnsi="Times New Roman" w:cs="Times New Roman"/>
          <w:sz w:val="32"/>
          <w:szCs w:val="32"/>
        </w:rPr>
      </w:pPr>
      <w:r w:rsidRPr="00F91584">
        <w:rPr>
          <w:rFonts w:ascii="Times New Roman" w:eastAsia="仿宋_GB2312" w:hAnsi="Times New Roman" w:cs="Times New Roman" w:hint="eastAsia"/>
          <w:sz w:val="32"/>
          <w:szCs w:val="32"/>
        </w:rPr>
        <w:t>本标准为首次制订，包括了有色冶炼场地生态修复技术的方案设计、施工等方面的内容，涉及面广、技术性强。建议在本标准实施过程中，广泛听取和收集各方面的意见与建议，根据实际应用情况，对本标准进行不断的修订和完善。由于有色冶炼场地生态修复技术将随着环保管理要求而不断发展与创新，此外，随着经济的发展和新技术不断使用，本标准中的相关技术、工艺会发生很大的变化，相应的技术要求也应随之进行相应的调整。因此，在实施过程中可采用先试行一段时间，广泛听取和收集各方面的意见与建议，进行进一步的修订完善，使其实用性和可操作性与时俱进，不断满足环境管理和环保设施工程建设的需要。为贯彻标准，建议标准发布后，提请主管部门适时发布</w:t>
      </w:r>
      <w:proofErr w:type="gramStart"/>
      <w:r w:rsidRPr="00F91584">
        <w:rPr>
          <w:rFonts w:ascii="Times New Roman" w:eastAsia="仿宋_GB2312" w:hAnsi="Times New Roman" w:cs="Times New Roman" w:hint="eastAsia"/>
          <w:sz w:val="32"/>
          <w:szCs w:val="32"/>
        </w:rPr>
        <w:t>贯</w:t>
      </w:r>
      <w:proofErr w:type="gramEnd"/>
      <w:r w:rsidRPr="00F91584">
        <w:rPr>
          <w:rFonts w:ascii="Times New Roman" w:eastAsia="仿宋_GB2312" w:hAnsi="Times New Roman" w:cs="Times New Roman" w:hint="eastAsia"/>
          <w:sz w:val="32"/>
          <w:szCs w:val="32"/>
        </w:rPr>
        <w:t>标的通知，并委托起草单位组织培训，切实推动这项行业标准的贯彻实施。</w:t>
      </w:r>
    </w:p>
    <w:p w14:paraId="37C8B77A" w14:textId="77777777" w:rsidR="00F91584" w:rsidRDefault="00F91584" w:rsidP="00F91584">
      <w:pPr>
        <w:pStyle w:val="aa"/>
        <w:adjustRightInd w:val="0"/>
        <w:snapToGrid w:val="0"/>
        <w:spacing w:beforeLines="100" w:before="312" w:after="0" w:line="360" w:lineRule="auto"/>
        <w:jc w:val="left"/>
        <w:rPr>
          <w:rFonts w:ascii="Times New Roman" w:eastAsia="黑体" w:hAnsi="Times New Roman" w:cs="Times New Roman"/>
        </w:rPr>
      </w:pPr>
      <w:bookmarkStart w:id="46" w:name="_Toc22234"/>
      <w:bookmarkStart w:id="47" w:name="_Toc3191"/>
      <w:bookmarkStart w:id="48" w:name="_Toc390343067"/>
      <w:bookmarkStart w:id="49" w:name="_Toc17709"/>
      <w:bookmarkStart w:id="50" w:name="_Toc136984245"/>
      <w:r>
        <w:rPr>
          <w:rFonts w:ascii="Times New Roman" w:eastAsia="黑体" w:hAnsi="Times New Roman" w:cs="Times New Roman"/>
        </w:rPr>
        <w:t>第</w:t>
      </w:r>
      <w:r>
        <w:rPr>
          <w:rFonts w:ascii="Times New Roman" w:eastAsia="黑体" w:hAnsi="Times New Roman" w:cs="Times New Roman" w:hint="eastAsia"/>
        </w:rPr>
        <w:t>九</w:t>
      </w:r>
      <w:r>
        <w:rPr>
          <w:rFonts w:ascii="Times New Roman" w:eastAsia="黑体" w:hAnsi="Times New Roman" w:cs="Times New Roman"/>
        </w:rPr>
        <w:t>章</w:t>
      </w:r>
      <w:r>
        <w:rPr>
          <w:rFonts w:ascii="Times New Roman" w:eastAsia="黑体" w:hAnsi="Times New Roman" w:cs="Times New Roman"/>
        </w:rPr>
        <w:t xml:space="preserve"> </w:t>
      </w:r>
      <w:r>
        <w:rPr>
          <w:rFonts w:ascii="Times New Roman" w:eastAsia="黑体" w:hAnsi="Times New Roman" w:cs="Times New Roman"/>
        </w:rPr>
        <w:t>废止现行有关标准的建议</w:t>
      </w:r>
      <w:bookmarkEnd w:id="46"/>
      <w:bookmarkEnd w:id="47"/>
      <w:bookmarkEnd w:id="48"/>
      <w:bookmarkEnd w:id="49"/>
      <w:bookmarkEnd w:id="50"/>
    </w:p>
    <w:p w14:paraId="2A339B23" w14:textId="77777777" w:rsidR="00F91584" w:rsidRDefault="00F91584" w:rsidP="00F91584">
      <w:pPr>
        <w:spacing w:line="360" w:lineRule="auto"/>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sz w:val="28"/>
          <w:szCs w:val="28"/>
        </w:rPr>
        <w:t>无。</w:t>
      </w:r>
    </w:p>
    <w:p w14:paraId="18D36310" w14:textId="77777777" w:rsidR="00F91584" w:rsidRDefault="00F91584" w:rsidP="00F91584">
      <w:pPr>
        <w:pStyle w:val="aa"/>
        <w:adjustRightInd w:val="0"/>
        <w:snapToGrid w:val="0"/>
        <w:spacing w:beforeLines="100" w:before="312" w:after="0" w:line="360" w:lineRule="auto"/>
        <w:jc w:val="left"/>
        <w:rPr>
          <w:rFonts w:ascii="Times New Roman" w:eastAsia="黑体" w:hAnsi="Times New Roman" w:cs="Times New Roman"/>
        </w:rPr>
      </w:pPr>
      <w:bookmarkStart w:id="51" w:name="_Toc16117"/>
      <w:bookmarkStart w:id="52" w:name="_Toc390343068"/>
      <w:bookmarkStart w:id="53" w:name="_Toc23627"/>
      <w:bookmarkStart w:id="54" w:name="_Toc7508"/>
      <w:bookmarkStart w:id="55" w:name="_Toc136984246"/>
      <w:r>
        <w:rPr>
          <w:rFonts w:ascii="Times New Roman" w:eastAsia="黑体" w:hAnsi="Times New Roman" w:cs="Times New Roman"/>
        </w:rPr>
        <w:t>第</w:t>
      </w:r>
      <w:r>
        <w:rPr>
          <w:rFonts w:ascii="Times New Roman" w:eastAsia="黑体" w:hAnsi="Times New Roman" w:cs="Times New Roman" w:hint="eastAsia"/>
        </w:rPr>
        <w:t>十</w:t>
      </w:r>
      <w:r>
        <w:rPr>
          <w:rFonts w:ascii="Times New Roman" w:eastAsia="黑体" w:hAnsi="Times New Roman" w:cs="Times New Roman"/>
        </w:rPr>
        <w:t>章</w:t>
      </w:r>
      <w:r>
        <w:rPr>
          <w:rFonts w:ascii="Times New Roman" w:eastAsia="黑体" w:hAnsi="Times New Roman" w:cs="Times New Roman"/>
        </w:rPr>
        <w:t xml:space="preserve"> </w:t>
      </w:r>
      <w:r>
        <w:rPr>
          <w:rFonts w:ascii="Times New Roman" w:eastAsia="黑体" w:hAnsi="Times New Roman" w:cs="Times New Roman"/>
        </w:rPr>
        <w:t>其他应予说明的事项</w:t>
      </w:r>
      <w:bookmarkEnd w:id="51"/>
      <w:bookmarkEnd w:id="52"/>
      <w:bookmarkEnd w:id="53"/>
      <w:bookmarkEnd w:id="54"/>
      <w:bookmarkEnd w:id="55"/>
    </w:p>
    <w:p w14:paraId="008C0C06" w14:textId="77777777" w:rsidR="00F91584" w:rsidRDefault="00F91584" w:rsidP="00F91584">
      <w:pPr>
        <w:spacing w:line="360" w:lineRule="auto"/>
        <w:ind w:firstLineChars="200" w:firstLine="560"/>
        <w:jc w:val="left"/>
        <w:rPr>
          <w:rFonts w:ascii="Times New Roman" w:hAnsi="Times New Roman" w:cs="Times New Roman"/>
        </w:rPr>
      </w:pPr>
      <w:r>
        <w:rPr>
          <w:rFonts w:ascii="Times New Roman" w:eastAsia="仿宋_GB2312" w:hAnsi="Times New Roman" w:cs="Times New Roman"/>
          <w:sz w:val="28"/>
          <w:szCs w:val="28"/>
        </w:rPr>
        <w:t>无。</w:t>
      </w:r>
    </w:p>
    <w:p w14:paraId="76830AD1" w14:textId="77777777" w:rsidR="00AB40B5" w:rsidRPr="00AB40B5" w:rsidRDefault="00AB40B5" w:rsidP="00F91584">
      <w:pPr>
        <w:spacing w:line="480" w:lineRule="exact"/>
        <w:ind w:firstLineChars="200" w:firstLine="640"/>
        <w:rPr>
          <w:rFonts w:ascii="Times New Roman" w:eastAsia="仿宋_GB2312" w:hAnsi="Times New Roman" w:cs="Times New Roman"/>
          <w:sz w:val="32"/>
          <w:szCs w:val="32"/>
        </w:rPr>
      </w:pPr>
    </w:p>
    <w:sectPr w:rsidR="00AB40B5" w:rsidRPr="00AB40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9E12" w14:textId="77777777" w:rsidR="00D86730" w:rsidRDefault="00D86730" w:rsidP="00571148">
      <w:r>
        <w:separator/>
      </w:r>
    </w:p>
  </w:endnote>
  <w:endnote w:type="continuationSeparator" w:id="0">
    <w:p w14:paraId="6747CD97" w14:textId="77777777" w:rsidR="00D86730" w:rsidRDefault="00D86730" w:rsidP="0057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C16F" w14:textId="77777777" w:rsidR="00D86730" w:rsidRDefault="00D86730" w:rsidP="00571148">
      <w:r>
        <w:separator/>
      </w:r>
    </w:p>
  </w:footnote>
  <w:footnote w:type="continuationSeparator" w:id="0">
    <w:p w14:paraId="65A851A7" w14:textId="77777777" w:rsidR="00D86730" w:rsidRDefault="00D86730" w:rsidP="00571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1FD580"/>
    <w:multiLevelType w:val="singleLevel"/>
    <w:tmpl w:val="881FD580"/>
    <w:lvl w:ilvl="0">
      <w:start w:val="7"/>
      <w:numFmt w:val="chineseCounting"/>
      <w:suff w:val="space"/>
      <w:lvlText w:val="第%1章"/>
      <w:lvlJc w:val="left"/>
      <w:rPr>
        <w:rFonts w:hint="eastAsia"/>
      </w:rPr>
    </w:lvl>
  </w:abstractNum>
  <w:abstractNum w:abstractNumId="1" w15:restartNumberingAfterBreak="0">
    <w:nsid w:val="C5057892"/>
    <w:multiLevelType w:val="singleLevel"/>
    <w:tmpl w:val="C5057892"/>
    <w:lvl w:ilvl="0">
      <w:start w:val="3"/>
      <w:numFmt w:val="chineseCounting"/>
      <w:suff w:val="space"/>
      <w:lvlText w:val="第%1章"/>
      <w:lvlJc w:val="left"/>
      <w:rPr>
        <w:rFonts w:hint="eastAsia"/>
      </w:rPr>
    </w:lvl>
  </w:abstractNum>
  <w:abstractNum w:abstractNumId="2" w15:restartNumberingAfterBreak="0">
    <w:nsid w:val="51450E93"/>
    <w:multiLevelType w:val="hybridMultilevel"/>
    <w:tmpl w:val="4F1410A4"/>
    <w:lvl w:ilvl="0" w:tplc="437428AA">
      <w:start w:val="1"/>
      <w:numFmt w:val="japaneseCounting"/>
      <w:lvlText w:val="第%1章"/>
      <w:lvlJc w:val="left"/>
      <w:pPr>
        <w:ind w:left="4527" w:hanging="1125"/>
      </w:pPr>
      <w:rPr>
        <w:rFonts w:hint="default"/>
      </w:rPr>
    </w:lvl>
    <w:lvl w:ilvl="1" w:tplc="04090019" w:tentative="1">
      <w:start w:val="1"/>
      <w:numFmt w:val="lowerLetter"/>
      <w:lvlText w:val="%2)"/>
      <w:lvlJc w:val="left"/>
      <w:pPr>
        <w:ind w:left="4242" w:hanging="420"/>
      </w:pPr>
    </w:lvl>
    <w:lvl w:ilvl="2" w:tplc="0409001B" w:tentative="1">
      <w:start w:val="1"/>
      <w:numFmt w:val="lowerRoman"/>
      <w:lvlText w:val="%3."/>
      <w:lvlJc w:val="right"/>
      <w:pPr>
        <w:ind w:left="4662" w:hanging="420"/>
      </w:pPr>
    </w:lvl>
    <w:lvl w:ilvl="3" w:tplc="0409000F" w:tentative="1">
      <w:start w:val="1"/>
      <w:numFmt w:val="decimal"/>
      <w:lvlText w:val="%4."/>
      <w:lvlJc w:val="left"/>
      <w:pPr>
        <w:ind w:left="5082" w:hanging="420"/>
      </w:pPr>
    </w:lvl>
    <w:lvl w:ilvl="4" w:tplc="04090019" w:tentative="1">
      <w:start w:val="1"/>
      <w:numFmt w:val="lowerLetter"/>
      <w:lvlText w:val="%5)"/>
      <w:lvlJc w:val="left"/>
      <w:pPr>
        <w:ind w:left="5502" w:hanging="420"/>
      </w:pPr>
    </w:lvl>
    <w:lvl w:ilvl="5" w:tplc="0409001B" w:tentative="1">
      <w:start w:val="1"/>
      <w:numFmt w:val="lowerRoman"/>
      <w:lvlText w:val="%6."/>
      <w:lvlJc w:val="right"/>
      <w:pPr>
        <w:ind w:left="5922" w:hanging="420"/>
      </w:pPr>
    </w:lvl>
    <w:lvl w:ilvl="6" w:tplc="0409000F" w:tentative="1">
      <w:start w:val="1"/>
      <w:numFmt w:val="decimal"/>
      <w:lvlText w:val="%7."/>
      <w:lvlJc w:val="left"/>
      <w:pPr>
        <w:ind w:left="6342" w:hanging="420"/>
      </w:pPr>
    </w:lvl>
    <w:lvl w:ilvl="7" w:tplc="04090019" w:tentative="1">
      <w:start w:val="1"/>
      <w:numFmt w:val="lowerLetter"/>
      <w:lvlText w:val="%8)"/>
      <w:lvlJc w:val="left"/>
      <w:pPr>
        <w:ind w:left="6762" w:hanging="420"/>
      </w:pPr>
    </w:lvl>
    <w:lvl w:ilvl="8" w:tplc="0409001B" w:tentative="1">
      <w:start w:val="1"/>
      <w:numFmt w:val="lowerRoman"/>
      <w:lvlText w:val="%9."/>
      <w:lvlJc w:val="right"/>
      <w:pPr>
        <w:ind w:left="718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EE9"/>
    <w:rsid w:val="0001400D"/>
    <w:rsid w:val="00070710"/>
    <w:rsid w:val="000A30D8"/>
    <w:rsid w:val="000B1779"/>
    <w:rsid w:val="000B425B"/>
    <w:rsid w:val="000B5A06"/>
    <w:rsid w:val="000D2D57"/>
    <w:rsid w:val="000E761D"/>
    <w:rsid w:val="00106AFB"/>
    <w:rsid w:val="00120F9E"/>
    <w:rsid w:val="00151100"/>
    <w:rsid w:val="001653E4"/>
    <w:rsid w:val="0017326A"/>
    <w:rsid w:val="00173522"/>
    <w:rsid w:val="0017632E"/>
    <w:rsid w:val="001821AD"/>
    <w:rsid w:val="00182829"/>
    <w:rsid w:val="001A317A"/>
    <w:rsid w:val="001B41C6"/>
    <w:rsid w:val="001B635D"/>
    <w:rsid w:val="001C1C44"/>
    <w:rsid w:val="001E2502"/>
    <w:rsid w:val="002156B5"/>
    <w:rsid w:val="00222CED"/>
    <w:rsid w:val="002570FB"/>
    <w:rsid w:val="00266793"/>
    <w:rsid w:val="00290CE6"/>
    <w:rsid w:val="002958C8"/>
    <w:rsid w:val="002A6613"/>
    <w:rsid w:val="002B753E"/>
    <w:rsid w:val="002C6FA6"/>
    <w:rsid w:val="002F0395"/>
    <w:rsid w:val="003040FF"/>
    <w:rsid w:val="0030629F"/>
    <w:rsid w:val="003119B7"/>
    <w:rsid w:val="00323B78"/>
    <w:rsid w:val="00323E01"/>
    <w:rsid w:val="00380F01"/>
    <w:rsid w:val="00396156"/>
    <w:rsid w:val="003A5CF5"/>
    <w:rsid w:val="003A72D5"/>
    <w:rsid w:val="003C287E"/>
    <w:rsid w:val="003F509E"/>
    <w:rsid w:val="004144D1"/>
    <w:rsid w:val="00452EDC"/>
    <w:rsid w:val="0047113B"/>
    <w:rsid w:val="004819BE"/>
    <w:rsid w:val="00496845"/>
    <w:rsid w:val="004B2AD6"/>
    <w:rsid w:val="004E568D"/>
    <w:rsid w:val="004E5B31"/>
    <w:rsid w:val="004F3E60"/>
    <w:rsid w:val="0050694E"/>
    <w:rsid w:val="00517F08"/>
    <w:rsid w:val="00540B1E"/>
    <w:rsid w:val="00540BAF"/>
    <w:rsid w:val="005414F8"/>
    <w:rsid w:val="0055344E"/>
    <w:rsid w:val="00571148"/>
    <w:rsid w:val="005770D4"/>
    <w:rsid w:val="005B2AFD"/>
    <w:rsid w:val="005E1250"/>
    <w:rsid w:val="005F22AA"/>
    <w:rsid w:val="005F3170"/>
    <w:rsid w:val="006159E7"/>
    <w:rsid w:val="006272A0"/>
    <w:rsid w:val="0066591F"/>
    <w:rsid w:val="006666D2"/>
    <w:rsid w:val="006714F6"/>
    <w:rsid w:val="00682A86"/>
    <w:rsid w:val="0072519A"/>
    <w:rsid w:val="0073326B"/>
    <w:rsid w:val="00744345"/>
    <w:rsid w:val="00773AA5"/>
    <w:rsid w:val="00776FE0"/>
    <w:rsid w:val="007967CC"/>
    <w:rsid w:val="007A4590"/>
    <w:rsid w:val="007B28E7"/>
    <w:rsid w:val="007B6511"/>
    <w:rsid w:val="007C20EF"/>
    <w:rsid w:val="007D03C0"/>
    <w:rsid w:val="007D3FF0"/>
    <w:rsid w:val="007E4491"/>
    <w:rsid w:val="008500B7"/>
    <w:rsid w:val="00856F97"/>
    <w:rsid w:val="00884EE3"/>
    <w:rsid w:val="008C79EF"/>
    <w:rsid w:val="008F61A3"/>
    <w:rsid w:val="0094093D"/>
    <w:rsid w:val="009442D1"/>
    <w:rsid w:val="00982305"/>
    <w:rsid w:val="009A0D6F"/>
    <w:rsid w:val="009A2FB6"/>
    <w:rsid w:val="009C46A4"/>
    <w:rsid w:val="00A0025A"/>
    <w:rsid w:val="00A0560F"/>
    <w:rsid w:val="00A233C8"/>
    <w:rsid w:val="00A37504"/>
    <w:rsid w:val="00A72E06"/>
    <w:rsid w:val="00A72E86"/>
    <w:rsid w:val="00A970E4"/>
    <w:rsid w:val="00AA7FA2"/>
    <w:rsid w:val="00AB40B5"/>
    <w:rsid w:val="00AB6ACF"/>
    <w:rsid w:val="00AD45D8"/>
    <w:rsid w:val="00B11AFE"/>
    <w:rsid w:val="00B40B49"/>
    <w:rsid w:val="00B63724"/>
    <w:rsid w:val="00B75ED4"/>
    <w:rsid w:val="00B80637"/>
    <w:rsid w:val="00B94A9D"/>
    <w:rsid w:val="00BA1C92"/>
    <w:rsid w:val="00BE3A8E"/>
    <w:rsid w:val="00C044E0"/>
    <w:rsid w:val="00C05B8E"/>
    <w:rsid w:val="00C2262D"/>
    <w:rsid w:val="00CA0103"/>
    <w:rsid w:val="00CC1626"/>
    <w:rsid w:val="00CC5949"/>
    <w:rsid w:val="00D11E7B"/>
    <w:rsid w:val="00D211DB"/>
    <w:rsid w:val="00D25DF7"/>
    <w:rsid w:val="00D56C08"/>
    <w:rsid w:val="00D674E7"/>
    <w:rsid w:val="00D86730"/>
    <w:rsid w:val="00DA1EE9"/>
    <w:rsid w:val="00DA3D63"/>
    <w:rsid w:val="00DC4881"/>
    <w:rsid w:val="00DD456F"/>
    <w:rsid w:val="00DD4FBD"/>
    <w:rsid w:val="00E17767"/>
    <w:rsid w:val="00E17897"/>
    <w:rsid w:val="00E366B3"/>
    <w:rsid w:val="00E44D3F"/>
    <w:rsid w:val="00E56430"/>
    <w:rsid w:val="00E57D77"/>
    <w:rsid w:val="00E62DDC"/>
    <w:rsid w:val="00E903D3"/>
    <w:rsid w:val="00EC15F7"/>
    <w:rsid w:val="00ED1DD5"/>
    <w:rsid w:val="00F22EE0"/>
    <w:rsid w:val="00F23588"/>
    <w:rsid w:val="00F26B08"/>
    <w:rsid w:val="00F31E8B"/>
    <w:rsid w:val="00F61E69"/>
    <w:rsid w:val="00F71E01"/>
    <w:rsid w:val="00F905B9"/>
    <w:rsid w:val="00F91584"/>
    <w:rsid w:val="00F96BB1"/>
    <w:rsid w:val="00FB4E9C"/>
    <w:rsid w:val="00FB6AF6"/>
    <w:rsid w:val="00FC489F"/>
    <w:rsid w:val="00FE2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095B7"/>
  <w15:chartTrackingRefBased/>
  <w15:docId w15:val="{2FC559EB-78C4-4E4C-8819-E07ED022F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2502"/>
    <w:pPr>
      <w:widowControl w:val="0"/>
      <w:jc w:val="both"/>
    </w:pPr>
  </w:style>
  <w:style w:type="paragraph" w:styleId="1">
    <w:name w:val="heading 1"/>
    <w:basedOn w:val="a"/>
    <w:next w:val="a"/>
    <w:link w:val="10"/>
    <w:uiPriority w:val="9"/>
    <w:qFormat/>
    <w:rsid w:val="0026679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06AFB"/>
    <w:pPr>
      <w:ind w:leftChars="2500" w:left="100"/>
    </w:pPr>
  </w:style>
  <w:style w:type="character" w:customStyle="1" w:styleId="a4">
    <w:name w:val="日期 字符"/>
    <w:basedOn w:val="a0"/>
    <w:link w:val="a3"/>
    <w:uiPriority w:val="99"/>
    <w:semiHidden/>
    <w:rsid w:val="00106AFB"/>
  </w:style>
  <w:style w:type="paragraph" w:styleId="a5">
    <w:name w:val="List Paragraph"/>
    <w:basedOn w:val="a"/>
    <w:uiPriority w:val="34"/>
    <w:qFormat/>
    <w:rsid w:val="00106AFB"/>
    <w:pPr>
      <w:ind w:firstLineChars="200" w:firstLine="420"/>
    </w:pPr>
  </w:style>
  <w:style w:type="character" w:customStyle="1" w:styleId="fontstyle01">
    <w:name w:val="fontstyle01"/>
    <w:basedOn w:val="a0"/>
    <w:rsid w:val="00744345"/>
    <w:rPr>
      <w:rFonts w:ascii="黑体" w:eastAsia="黑体" w:hAnsi="黑体" w:hint="eastAsia"/>
      <w:b w:val="0"/>
      <w:bCs w:val="0"/>
      <w:i w:val="0"/>
      <w:iCs w:val="0"/>
      <w:color w:val="000000"/>
      <w:sz w:val="22"/>
      <w:szCs w:val="22"/>
    </w:rPr>
  </w:style>
  <w:style w:type="paragraph" w:styleId="a6">
    <w:name w:val="header"/>
    <w:basedOn w:val="a"/>
    <w:link w:val="a7"/>
    <w:uiPriority w:val="99"/>
    <w:unhideWhenUsed/>
    <w:rsid w:val="0057114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71148"/>
    <w:rPr>
      <w:sz w:val="18"/>
      <w:szCs w:val="18"/>
    </w:rPr>
  </w:style>
  <w:style w:type="paragraph" w:styleId="a8">
    <w:name w:val="footer"/>
    <w:basedOn w:val="a"/>
    <w:link w:val="a9"/>
    <w:uiPriority w:val="99"/>
    <w:unhideWhenUsed/>
    <w:rsid w:val="00571148"/>
    <w:pPr>
      <w:tabs>
        <w:tab w:val="center" w:pos="4153"/>
        <w:tab w:val="right" w:pos="8306"/>
      </w:tabs>
      <w:snapToGrid w:val="0"/>
      <w:jc w:val="left"/>
    </w:pPr>
    <w:rPr>
      <w:sz w:val="18"/>
      <w:szCs w:val="18"/>
    </w:rPr>
  </w:style>
  <w:style w:type="character" w:customStyle="1" w:styleId="a9">
    <w:name w:val="页脚 字符"/>
    <w:basedOn w:val="a0"/>
    <w:link w:val="a8"/>
    <w:uiPriority w:val="99"/>
    <w:rsid w:val="00571148"/>
    <w:rPr>
      <w:sz w:val="18"/>
      <w:szCs w:val="18"/>
    </w:rPr>
  </w:style>
  <w:style w:type="paragraph" w:styleId="aa">
    <w:name w:val="Title"/>
    <w:basedOn w:val="a"/>
    <w:next w:val="a"/>
    <w:link w:val="ab"/>
    <w:qFormat/>
    <w:rsid w:val="002C6FA6"/>
    <w:pPr>
      <w:spacing w:before="240" w:after="60"/>
      <w:jc w:val="center"/>
      <w:outlineLvl w:val="0"/>
    </w:pPr>
    <w:rPr>
      <w:rFonts w:ascii="Cambria" w:hAnsi="Cambria"/>
      <w:b/>
      <w:bCs/>
      <w:sz w:val="32"/>
      <w:szCs w:val="32"/>
    </w:rPr>
  </w:style>
  <w:style w:type="character" w:customStyle="1" w:styleId="ab">
    <w:name w:val="标题 字符"/>
    <w:basedOn w:val="a0"/>
    <w:link w:val="aa"/>
    <w:rsid w:val="002C6FA6"/>
    <w:rPr>
      <w:rFonts w:ascii="Cambria" w:hAnsi="Cambria"/>
      <w:b/>
      <w:bCs/>
      <w:sz w:val="32"/>
      <w:szCs w:val="32"/>
    </w:rPr>
  </w:style>
  <w:style w:type="character" w:customStyle="1" w:styleId="10">
    <w:name w:val="标题 1 字符"/>
    <w:basedOn w:val="a0"/>
    <w:link w:val="1"/>
    <w:uiPriority w:val="9"/>
    <w:rsid w:val="00266793"/>
    <w:rPr>
      <w:b/>
      <w:bCs/>
      <w:kern w:val="44"/>
      <w:sz w:val="44"/>
      <w:szCs w:val="44"/>
    </w:rPr>
  </w:style>
  <w:style w:type="paragraph" w:styleId="TOC">
    <w:name w:val="TOC Heading"/>
    <w:basedOn w:val="1"/>
    <w:next w:val="a"/>
    <w:uiPriority w:val="39"/>
    <w:unhideWhenUsed/>
    <w:qFormat/>
    <w:rsid w:val="00266793"/>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266793"/>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266793"/>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266793"/>
    <w:pPr>
      <w:widowControl/>
      <w:spacing w:after="100" w:line="259" w:lineRule="auto"/>
      <w:ind w:left="440"/>
      <w:jc w:val="left"/>
    </w:pPr>
    <w:rPr>
      <w:rFonts w:cs="Times New Roman"/>
      <w:kern w:val="0"/>
      <w:sz w:val="22"/>
    </w:rPr>
  </w:style>
  <w:style w:type="character" w:styleId="ac">
    <w:name w:val="Hyperlink"/>
    <w:basedOn w:val="a0"/>
    <w:uiPriority w:val="99"/>
    <w:rsid w:val="002667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DD8B1-4166-4D3F-A2D7-E3FF79D09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1204</Words>
  <Characters>6867</Characters>
  <Application>Microsoft Office Word</Application>
  <DocSecurity>0</DocSecurity>
  <Lines>57</Lines>
  <Paragraphs>16</Paragraphs>
  <ScaleCrop>false</ScaleCrop>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 jiaqing</dc:creator>
  <cp:keywords/>
  <dc:description/>
  <cp:lastModifiedBy>Ke wenshun</cp:lastModifiedBy>
  <cp:revision>6</cp:revision>
  <dcterms:created xsi:type="dcterms:W3CDTF">2023-06-06T14:52:00Z</dcterms:created>
  <dcterms:modified xsi:type="dcterms:W3CDTF">2023-08-14T04:04:00Z</dcterms:modified>
</cp:coreProperties>
</file>