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B4B9C" w14:textId="77777777" w:rsidR="008F6058" w:rsidRDefault="008F6058">
      <w:pPr>
        <w:rPr>
          <w:rFonts w:ascii="方正黑体简体" w:eastAsia="方正黑体简体" w:hAnsi="Times New Roman" w:cs="Times New Roman"/>
          <w:color w:val="000000"/>
          <w:szCs w:val="32"/>
        </w:rPr>
      </w:pPr>
    </w:p>
    <w:p w14:paraId="028080B5" w14:textId="77777777" w:rsidR="008F6058" w:rsidRPr="004013B5" w:rsidRDefault="00664EDD">
      <w:pPr>
        <w:rPr>
          <w:rFonts w:ascii="黑体" w:eastAsia="黑体" w:hAnsi="黑体"/>
          <w:color w:val="000000"/>
        </w:rPr>
      </w:pPr>
      <w:r w:rsidRPr="004013B5">
        <w:rPr>
          <w:rFonts w:eastAsia="黑体"/>
          <w:color w:val="000000"/>
        </w:rPr>
        <w:t xml:space="preserve">ICS </w:t>
      </w:r>
      <w:r w:rsidRPr="004013B5">
        <w:rPr>
          <w:rFonts w:ascii="黑体" w:eastAsia="黑体" w:hAnsi="黑体"/>
          <w:color w:val="000000"/>
        </w:rPr>
        <w:t>XX</w:t>
      </w:r>
      <w:r w:rsidRPr="004013B5">
        <w:rPr>
          <w:rFonts w:ascii="黑体" w:eastAsia="黑体" w:hAnsi="黑体" w:hint="eastAsia"/>
          <w:color w:val="000000"/>
        </w:rPr>
        <w:t>.</w:t>
      </w:r>
      <w:r w:rsidRPr="004013B5">
        <w:rPr>
          <w:rFonts w:ascii="黑体" w:eastAsia="黑体" w:hAnsi="黑体"/>
          <w:color w:val="000000"/>
        </w:rPr>
        <w:t>XXX</w:t>
      </w:r>
    </w:p>
    <w:p w14:paraId="16D65BED" w14:textId="77777777" w:rsidR="008F6058" w:rsidRPr="004013B5" w:rsidRDefault="00664EDD">
      <w:pPr>
        <w:rPr>
          <w:rFonts w:ascii="黑体" w:eastAsia="黑体" w:hAnsi="黑体"/>
          <w:color w:val="000000"/>
        </w:rPr>
      </w:pPr>
      <w:r w:rsidRPr="004013B5">
        <w:rPr>
          <w:rFonts w:ascii="黑体" w:eastAsia="黑体" w:hAnsi="黑体"/>
          <w:color w:val="000000"/>
        </w:rPr>
        <w:t>XX</w:t>
      </w:r>
    </w:p>
    <w:p w14:paraId="3891411B" w14:textId="77777777" w:rsidR="008F6058" w:rsidRPr="004013B5" w:rsidRDefault="008F6058">
      <w:pPr>
        <w:rPr>
          <w:rFonts w:ascii="宋体" w:hAnsi="宋体"/>
          <w:color w:val="000000"/>
        </w:rPr>
      </w:pPr>
    </w:p>
    <w:p w14:paraId="377B8785" w14:textId="77777777" w:rsidR="008F6058" w:rsidRPr="004013B5" w:rsidRDefault="00664EDD">
      <w:pPr>
        <w:jc w:val="center"/>
        <w:rPr>
          <w:rFonts w:ascii="黑体" w:eastAsia="黑体" w:hAnsi="黑体"/>
          <w:color w:val="000000"/>
          <w:sz w:val="84"/>
          <w:szCs w:val="84"/>
        </w:rPr>
      </w:pPr>
      <w:r w:rsidRPr="004013B5">
        <w:rPr>
          <w:rFonts w:ascii="黑体" w:eastAsia="黑体" w:hAnsi="黑体" w:hint="eastAsia"/>
          <w:color w:val="000000"/>
          <w:sz w:val="84"/>
          <w:szCs w:val="84"/>
        </w:rPr>
        <w:t>团   体   标   准</w:t>
      </w:r>
    </w:p>
    <w:p w14:paraId="190AC393" w14:textId="77777777" w:rsidR="008F6058" w:rsidRPr="004013B5" w:rsidRDefault="00664EDD">
      <w:pPr>
        <w:jc w:val="right"/>
        <w:rPr>
          <w:rFonts w:ascii="黑体" w:eastAsia="黑体" w:hAnsi="黑体"/>
          <w:color w:val="000000"/>
          <w:sz w:val="28"/>
          <w:szCs w:val="21"/>
        </w:rPr>
      </w:pPr>
      <w:r w:rsidRPr="004013B5">
        <w:t xml:space="preserve"> </w:t>
      </w:r>
      <w:r w:rsidRPr="004013B5">
        <w:rPr>
          <w:rFonts w:ascii="黑体" w:eastAsia="黑体" w:hAnsi="黑体"/>
          <w:color w:val="000000"/>
          <w:sz w:val="28"/>
          <w:szCs w:val="21"/>
        </w:rPr>
        <w:t>T/HAEPCI 40-2023</w:t>
      </w:r>
    </w:p>
    <w:p w14:paraId="4CFD921A" w14:textId="77777777" w:rsidR="008F6058" w:rsidRPr="004013B5" w:rsidRDefault="008F6058">
      <w:pPr>
        <w:jc w:val="right"/>
        <w:rPr>
          <w:rFonts w:ascii="宋体" w:hAnsi="宋体"/>
          <w:color w:val="000000"/>
        </w:rPr>
      </w:pPr>
    </w:p>
    <w:p w14:paraId="36DAD606" w14:textId="77777777" w:rsidR="008F6058" w:rsidRPr="004013B5" w:rsidRDefault="00664EDD">
      <w:pPr>
        <w:rPr>
          <w:rFonts w:ascii="Calibri" w:hAnsi="Calibri"/>
          <w:b/>
          <w:color w:val="000000"/>
          <w:sz w:val="48"/>
          <w:szCs w:val="48"/>
        </w:rPr>
      </w:pPr>
      <w:r w:rsidRPr="004013B5">
        <w:rPr>
          <w:rFonts w:ascii="Times New Roman" w:hAnsi="Times New Roman"/>
          <w:noProof/>
          <w:color w:val="000000"/>
          <w:szCs w:val="24"/>
        </w:rPr>
        <mc:AlternateContent>
          <mc:Choice Requires="wps">
            <w:drawing>
              <wp:anchor distT="0" distB="0" distL="114300" distR="114300" simplePos="0" relativeHeight="251659264" behindDoc="0" locked="0" layoutInCell="1" allowOverlap="1" wp14:anchorId="0E0A9D33" wp14:editId="483D5A56">
                <wp:simplePos x="0" y="0"/>
                <wp:positionH relativeFrom="margin">
                  <wp:align>center</wp:align>
                </wp:positionH>
                <wp:positionV relativeFrom="paragraph">
                  <wp:posOffset>70485</wp:posOffset>
                </wp:positionV>
                <wp:extent cx="5939790" cy="0"/>
                <wp:effectExtent l="0" t="0" r="0" b="0"/>
                <wp:wrapNone/>
                <wp:docPr id="18" name="直接箭头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straightConnector1">
                          <a:avLst/>
                        </a:prstGeom>
                        <a:noFill/>
                        <a:ln w="19050">
                          <a:solidFill>
                            <a:srgbClr val="000000"/>
                          </a:solidFill>
                          <a:round/>
                        </a:ln>
                      </wps:spPr>
                      <wps:bodyPr/>
                    </wps:wsp>
                  </a:graphicData>
                </a:graphic>
              </wp:anchor>
            </w:drawing>
          </mc:Choice>
          <mc:Fallback xmlns:wpsCustomData="http://www.wps.cn/officeDocument/2013/wpsCustomData" xmlns:oel="http://schemas.microsoft.com/office/2019/extlst">
            <w:pict>
              <v:shape id="_x0000_s1026" o:spid="_x0000_s1026" o:spt="32" type="#_x0000_t32" style="position:absolute;left:0pt;margin-top:5.55pt;height:0pt;width:467.7pt;mso-position-horizontal:center;mso-position-horizontal-relative:margin;z-index:251659264;mso-width-relative:page;mso-height-relative:page;" filled="f" stroked="t" coordsize="21600,21600" o:gfxdata="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cU6EtIAAAAGAQAADwAAAAAAAAABACAAAAAiAAAAZHJzL2Rvd25yZXYueG1sUEsBAhQAFAAA&#10;AAgAh07iQLqeNLX1AQAAwQMAAA4AAAAAAAAAAQAgAAAAIQEAAGRycy9lMm9Eb2MueG1sUEsFBgAA&#10;AAAGAAYAWQEAAIgFAAAAAA==&#10;">
                <v:fill on="f" focussize="0,0"/>
                <v:stroke weight="1.5pt" color="#000000" joinstyle="round"/>
                <v:imagedata o:title=""/>
                <o:lock v:ext="edit" aspectratio="f"/>
              </v:shape>
            </w:pict>
          </mc:Fallback>
        </mc:AlternateContent>
      </w:r>
    </w:p>
    <w:p w14:paraId="04517136" w14:textId="77777777" w:rsidR="008F6058" w:rsidRPr="004013B5" w:rsidRDefault="008F6058">
      <w:pPr>
        <w:rPr>
          <w:rFonts w:ascii="Calibri" w:hAnsi="Calibri"/>
          <w:b/>
          <w:color w:val="000000"/>
          <w:sz w:val="48"/>
          <w:szCs w:val="48"/>
        </w:rPr>
      </w:pPr>
    </w:p>
    <w:p w14:paraId="4370CD9A" w14:textId="77777777" w:rsidR="008F6058" w:rsidRPr="004013B5" w:rsidRDefault="008F6058">
      <w:pPr>
        <w:rPr>
          <w:rFonts w:ascii="Calibri" w:hAnsi="Calibri"/>
          <w:b/>
          <w:color w:val="000000"/>
          <w:sz w:val="48"/>
          <w:szCs w:val="48"/>
        </w:rPr>
      </w:pPr>
    </w:p>
    <w:p w14:paraId="598C747F" w14:textId="77777777" w:rsidR="008F6058" w:rsidRPr="004013B5" w:rsidRDefault="008F6058">
      <w:pPr>
        <w:rPr>
          <w:rFonts w:ascii="Calibri" w:hAnsi="Calibri"/>
          <w:b/>
          <w:color w:val="000000"/>
          <w:sz w:val="48"/>
          <w:szCs w:val="48"/>
        </w:rPr>
      </w:pPr>
    </w:p>
    <w:p w14:paraId="7C5E0705" w14:textId="77777777" w:rsidR="008F6058" w:rsidRPr="004013B5" w:rsidRDefault="008F6058">
      <w:pPr>
        <w:rPr>
          <w:rFonts w:ascii="Calibri" w:hAnsi="Calibri"/>
          <w:b/>
          <w:color w:val="000000"/>
          <w:sz w:val="48"/>
          <w:szCs w:val="48"/>
        </w:rPr>
      </w:pPr>
    </w:p>
    <w:p w14:paraId="3E4057AF" w14:textId="28625F6D" w:rsidR="008F6058" w:rsidRPr="004013B5" w:rsidRDefault="00664EDD">
      <w:pPr>
        <w:jc w:val="center"/>
        <w:rPr>
          <w:rFonts w:eastAsia="黑体"/>
          <w:color w:val="000000"/>
          <w:sz w:val="48"/>
          <w:szCs w:val="48"/>
        </w:rPr>
      </w:pPr>
      <w:bookmarkStart w:id="0" w:name="OLE_LINK1"/>
      <w:bookmarkStart w:id="1" w:name="_Hlk141389093"/>
      <w:r w:rsidRPr="004013B5">
        <w:rPr>
          <w:rFonts w:eastAsia="黑体" w:hint="eastAsia"/>
          <w:color w:val="000000"/>
          <w:sz w:val="48"/>
          <w:szCs w:val="48"/>
        </w:rPr>
        <w:t>有色</w:t>
      </w:r>
      <w:r w:rsidR="00DA127A" w:rsidRPr="004013B5">
        <w:rPr>
          <w:rFonts w:eastAsia="黑体" w:hint="eastAsia"/>
          <w:color w:val="000000"/>
          <w:sz w:val="48"/>
          <w:szCs w:val="48"/>
        </w:rPr>
        <w:t>金属</w:t>
      </w:r>
      <w:r w:rsidRPr="004013B5">
        <w:rPr>
          <w:rFonts w:eastAsia="黑体" w:hint="eastAsia"/>
          <w:color w:val="000000"/>
          <w:sz w:val="48"/>
          <w:szCs w:val="48"/>
        </w:rPr>
        <w:t>冶炼场地土壤</w:t>
      </w:r>
      <w:r w:rsidRPr="004013B5">
        <w:rPr>
          <w:rFonts w:eastAsia="黑体"/>
          <w:color w:val="000000"/>
          <w:sz w:val="48"/>
          <w:szCs w:val="48"/>
        </w:rPr>
        <w:t>-</w:t>
      </w:r>
      <w:r w:rsidRPr="004013B5">
        <w:rPr>
          <w:rFonts w:eastAsia="黑体"/>
          <w:color w:val="000000"/>
          <w:sz w:val="48"/>
          <w:szCs w:val="48"/>
        </w:rPr>
        <w:t>地下水重金属污染</w:t>
      </w:r>
    </w:p>
    <w:p w14:paraId="45709AA2" w14:textId="61E3319F" w:rsidR="008F6058" w:rsidRPr="004013B5" w:rsidRDefault="00664EDD">
      <w:pPr>
        <w:jc w:val="center"/>
        <w:rPr>
          <w:rFonts w:eastAsia="黑体"/>
          <w:color w:val="000000"/>
          <w:sz w:val="48"/>
          <w:szCs w:val="48"/>
        </w:rPr>
      </w:pPr>
      <w:r w:rsidRPr="004013B5">
        <w:rPr>
          <w:rFonts w:eastAsia="黑体"/>
          <w:color w:val="000000"/>
          <w:sz w:val="48"/>
          <w:szCs w:val="48"/>
        </w:rPr>
        <w:t>协同修复技术</w:t>
      </w:r>
      <w:bookmarkEnd w:id="0"/>
      <w:r w:rsidR="00674589" w:rsidRPr="004013B5">
        <w:rPr>
          <w:rFonts w:eastAsia="黑体" w:hint="eastAsia"/>
          <w:color w:val="000000"/>
          <w:sz w:val="48"/>
          <w:szCs w:val="48"/>
        </w:rPr>
        <w:t>指南</w:t>
      </w:r>
    </w:p>
    <w:bookmarkEnd w:id="1"/>
    <w:p w14:paraId="09619ECB" w14:textId="543FBBB2" w:rsidR="00FD2B6F" w:rsidRPr="004013B5" w:rsidRDefault="00FD2B6F" w:rsidP="00DA127A">
      <w:pPr>
        <w:jc w:val="center"/>
        <w:rPr>
          <w:rFonts w:ascii="Times New Roman" w:hAnsi="Times New Roman" w:cs="Times New Roman"/>
          <w:color w:val="000000"/>
          <w:sz w:val="30"/>
          <w:szCs w:val="30"/>
        </w:rPr>
      </w:pPr>
      <w:r w:rsidRPr="004013B5">
        <w:rPr>
          <w:rFonts w:ascii="Times New Roman" w:hAnsi="Times New Roman" w:cs="Times New Roman"/>
          <w:color w:val="000000"/>
          <w:sz w:val="30"/>
          <w:szCs w:val="30"/>
        </w:rPr>
        <w:t>Technical specifications for collaborative remediation of soil-groundwater heavy metal contamination in non-ferrous metal smelting sites</w:t>
      </w:r>
    </w:p>
    <w:p w14:paraId="5D4A6AFA" w14:textId="77777777" w:rsidR="00651FA7" w:rsidRPr="004013B5" w:rsidRDefault="00651FA7" w:rsidP="00651FA7">
      <w:pPr>
        <w:jc w:val="center"/>
        <w:rPr>
          <w:rFonts w:ascii="黑体" w:eastAsia="黑体" w:hAnsi="黑体" w:cs="Times New Roman"/>
          <w:sz w:val="30"/>
          <w:szCs w:val="30"/>
        </w:rPr>
      </w:pPr>
      <w:r w:rsidRPr="004013B5">
        <w:rPr>
          <w:rFonts w:ascii="黑体" w:eastAsia="黑体" w:hAnsi="黑体" w:cs="Times New Roman" w:hint="eastAsia"/>
          <w:sz w:val="30"/>
          <w:szCs w:val="30"/>
        </w:rPr>
        <w:t>（征求意见稿）</w:t>
      </w:r>
    </w:p>
    <w:p w14:paraId="068A8CF8" w14:textId="77777777" w:rsidR="008F6058" w:rsidRPr="004013B5" w:rsidRDefault="008F6058">
      <w:pPr>
        <w:spacing w:line="480" w:lineRule="auto"/>
        <w:rPr>
          <w:rFonts w:ascii="Calibri" w:hAnsi="Calibri"/>
          <w:color w:val="000000"/>
          <w:sz w:val="30"/>
          <w:szCs w:val="30"/>
        </w:rPr>
      </w:pPr>
    </w:p>
    <w:p w14:paraId="0C4EBE25" w14:textId="77777777" w:rsidR="008F6058" w:rsidRPr="004013B5" w:rsidRDefault="008F6058">
      <w:pPr>
        <w:spacing w:line="480" w:lineRule="auto"/>
        <w:rPr>
          <w:rFonts w:ascii="Calibri" w:hAnsi="Calibri"/>
          <w:color w:val="000000"/>
          <w:sz w:val="30"/>
          <w:szCs w:val="30"/>
        </w:rPr>
      </w:pPr>
    </w:p>
    <w:p w14:paraId="43E13FD2" w14:textId="77777777" w:rsidR="008F6058" w:rsidRPr="004013B5" w:rsidRDefault="008F6058">
      <w:pPr>
        <w:spacing w:line="480" w:lineRule="auto"/>
        <w:rPr>
          <w:rFonts w:ascii="Calibri" w:hAnsi="Calibri"/>
          <w:color w:val="000000"/>
          <w:sz w:val="30"/>
          <w:szCs w:val="30"/>
        </w:rPr>
      </w:pPr>
    </w:p>
    <w:p w14:paraId="335A45D7" w14:textId="77777777" w:rsidR="008F6058" w:rsidRPr="004013B5" w:rsidRDefault="008F6058">
      <w:pPr>
        <w:spacing w:line="600" w:lineRule="auto"/>
        <w:rPr>
          <w:rFonts w:ascii="Calibri" w:hAnsi="Calibri"/>
          <w:color w:val="000000"/>
          <w:sz w:val="30"/>
          <w:szCs w:val="30"/>
        </w:rPr>
      </w:pPr>
    </w:p>
    <w:p w14:paraId="293607D2" w14:textId="77777777" w:rsidR="008F6058" w:rsidRPr="004013B5" w:rsidRDefault="008F6058">
      <w:pPr>
        <w:spacing w:line="600" w:lineRule="auto"/>
        <w:rPr>
          <w:rFonts w:ascii="Calibri" w:hAnsi="Calibri"/>
          <w:color w:val="000000"/>
          <w:sz w:val="30"/>
          <w:szCs w:val="30"/>
        </w:rPr>
      </w:pPr>
    </w:p>
    <w:p w14:paraId="18D6DE68" w14:textId="77777777" w:rsidR="008F6058" w:rsidRPr="004013B5" w:rsidRDefault="00664EDD">
      <w:pPr>
        <w:spacing w:line="600" w:lineRule="auto"/>
        <w:jc w:val="center"/>
        <w:rPr>
          <w:rFonts w:ascii="Times New Roman" w:eastAsia="方正粗圆简体" w:hAnsi="Times New Roman" w:cs="Times New Roman"/>
          <w:color w:val="000000"/>
          <w:sz w:val="30"/>
          <w:szCs w:val="30"/>
          <w:u w:val="single"/>
        </w:rPr>
      </w:pPr>
      <w:proofErr w:type="spellStart"/>
      <w:r w:rsidRPr="004013B5">
        <w:rPr>
          <w:rFonts w:ascii="Times New Roman" w:hAnsi="Times New Roman" w:cs="Times New Roman"/>
          <w:color w:val="000000"/>
          <w:sz w:val="30"/>
          <w:szCs w:val="30"/>
          <w:u w:val="single"/>
        </w:rPr>
        <w:t>xxxx</w:t>
      </w:r>
      <w:proofErr w:type="spellEnd"/>
      <w:r w:rsidRPr="004013B5">
        <w:rPr>
          <w:rFonts w:ascii="Times New Roman" w:hAnsi="Times New Roman" w:cs="Times New Roman"/>
          <w:color w:val="000000"/>
          <w:sz w:val="30"/>
          <w:szCs w:val="30"/>
          <w:u w:val="single"/>
        </w:rPr>
        <w:t>-xx-xx</w:t>
      </w:r>
      <w:r w:rsidRPr="004013B5">
        <w:rPr>
          <w:rFonts w:ascii="Times New Roman" w:eastAsia="黑体" w:hAnsi="Times New Roman" w:cs="Times New Roman"/>
          <w:color w:val="000000"/>
          <w:sz w:val="30"/>
          <w:szCs w:val="30"/>
          <w:u w:val="single"/>
        </w:rPr>
        <w:t>发布</w:t>
      </w:r>
      <w:r w:rsidRPr="004013B5">
        <w:rPr>
          <w:rFonts w:ascii="Times New Roman" w:hAnsi="Times New Roman" w:cs="Times New Roman"/>
          <w:color w:val="000000"/>
          <w:sz w:val="30"/>
          <w:szCs w:val="30"/>
          <w:u w:val="single"/>
        </w:rPr>
        <w:t xml:space="preserve">                                  </w:t>
      </w:r>
      <w:proofErr w:type="spellStart"/>
      <w:r w:rsidRPr="004013B5">
        <w:rPr>
          <w:rFonts w:ascii="Times New Roman" w:hAnsi="Times New Roman" w:cs="Times New Roman"/>
          <w:color w:val="000000"/>
          <w:sz w:val="30"/>
          <w:szCs w:val="30"/>
          <w:u w:val="single"/>
        </w:rPr>
        <w:t>xxxx</w:t>
      </w:r>
      <w:proofErr w:type="spellEnd"/>
      <w:r w:rsidRPr="004013B5">
        <w:rPr>
          <w:rFonts w:ascii="Times New Roman" w:hAnsi="Times New Roman" w:cs="Times New Roman"/>
          <w:color w:val="000000"/>
          <w:sz w:val="30"/>
          <w:szCs w:val="30"/>
          <w:u w:val="single"/>
        </w:rPr>
        <w:t>-xx-xx</w:t>
      </w:r>
      <w:r w:rsidRPr="004013B5">
        <w:rPr>
          <w:rFonts w:ascii="Times New Roman" w:eastAsia="黑体" w:hAnsi="Times New Roman" w:cs="Times New Roman"/>
          <w:color w:val="000000"/>
          <w:sz w:val="30"/>
          <w:szCs w:val="30"/>
          <w:u w:val="single"/>
        </w:rPr>
        <w:t>实施</w:t>
      </w:r>
    </w:p>
    <w:p w14:paraId="4B9390B9" w14:textId="77777777" w:rsidR="002336D1" w:rsidRPr="004013B5" w:rsidRDefault="00664EDD">
      <w:pPr>
        <w:jc w:val="center"/>
        <w:rPr>
          <w:rFonts w:ascii="黑体" w:eastAsia="黑体" w:hAnsi="黑体"/>
          <w:color w:val="000000"/>
          <w:sz w:val="30"/>
          <w:szCs w:val="30"/>
        </w:rPr>
      </w:pPr>
      <w:r w:rsidRPr="004013B5">
        <w:rPr>
          <w:rFonts w:ascii="黑体" w:eastAsia="黑体" w:hAnsi="黑体" w:hint="eastAsia"/>
          <w:color w:val="000000"/>
          <w:sz w:val="30"/>
          <w:szCs w:val="30"/>
        </w:rPr>
        <w:t>湖南省环境治理行业协会</w:t>
      </w:r>
      <w:r w:rsidRPr="004013B5">
        <w:rPr>
          <w:rFonts w:ascii="宋体" w:hAnsi="宋体" w:hint="eastAsia"/>
          <w:color w:val="000000"/>
          <w:sz w:val="30"/>
          <w:szCs w:val="30"/>
        </w:rPr>
        <w:t xml:space="preserve"> </w:t>
      </w:r>
      <w:r w:rsidRPr="004013B5">
        <w:rPr>
          <w:rFonts w:ascii="黑体" w:eastAsia="黑体" w:hAnsi="黑体" w:hint="eastAsia"/>
          <w:color w:val="000000"/>
          <w:sz w:val="30"/>
          <w:szCs w:val="30"/>
        </w:rPr>
        <w:t>发布</w:t>
      </w:r>
    </w:p>
    <w:p w14:paraId="4CFD1D8C" w14:textId="77777777" w:rsidR="005546FD" w:rsidRPr="004013B5" w:rsidRDefault="005546FD">
      <w:pPr>
        <w:jc w:val="center"/>
        <w:rPr>
          <w:rFonts w:ascii="黑体" w:eastAsia="黑体" w:hAnsi="黑体"/>
          <w:color w:val="000000"/>
          <w:sz w:val="30"/>
          <w:szCs w:val="30"/>
        </w:rPr>
      </w:pPr>
    </w:p>
    <w:p w14:paraId="3991ADC6" w14:textId="77777777" w:rsidR="005546FD" w:rsidRPr="004013B5" w:rsidRDefault="005546FD">
      <w:pPr>
        <w:jc w:val="center"/>
        <w:rPr>
          <w:rFonts w:ascii="黑体" w:eastAsia="黑体" w:hAnsi="黑体"/>
          <w:color w:val="000000"/>
          <w:sz w:val="30"/>
          <w:szCs w:val="30"/>
        </w:rPr>
        <w:sectPr w:rsidR="005546FD" w:rsidRPr="004013B5" w:rsidSect="006B68CF">
          <w:footerReference w:type="even" r:id="rId8"/>
          <w:footerReference w:type="default" r:id="rId9"/>
          <w:pgSz w:w="11906" w:h="16838"/>
          <w:pgMar w:top="567" w:right="1134" w:bottom="1134" w:left="1418" w:header="851" w:footer="992" w:gutter="0"/>
          <w:pgNumType w:fmt="upperRoman" w:start="1"/>
          <w:cols w:space="425"/>
          <w:titlePg/>
          <w:docGrid w:type="lines" w:linePitch="312"/>
        </w:sectPr>
      </w:pPr>
    </w:p>
    <w:p w14:paraId="24C451F5" w14:textId="77777777" w:rsidR="002336D1" w:rsidRPr="004013B5" w:rsidRDefault="002336D1" w:rsidP="002336D1">
      <w:pPr>
        <w:pStyle w:val="af1"/>
        <w:rPr>
          <w:color w:val="000000"/>
        </w:rPr>
      </w:pPr>
      <w:bookmarkStart w:id="2" w:name="_Toc37234699"/>
      <w:bookmarkStart w:id="3" w:name="_Toc523930431"/>
      <w:bookmarkStart w:id="4" w:name="_Toc142687410"/>
      <w:bookmarkStart w:id="5" w:name="_Toc142687738"/>
      <w:bookmarkStart w:id="6" w:name="_Toc142689290"/>
      <w:bookmarkStart w:id="7" w:name="_Toc142689386"/>
      <w:r w:rsidRPr="004013B5">
        <w:rPr>
          <w:rFonts w:hint="eastAsia"/>
          <w:color w:val="000000"/>
        </w:rPr>
        <w:lastRenderedPageBreak/>
        <w:t>目</w:t>
      </w:r>
      <w:bookmarkStart w:id="8" w:name="BKML"/>
      <w:r w:rsidRPr="004013B5">
        <w:rPr>
          <w:rFonts w:hint="eastAsia"/>
          <w:color w:val="000000"/>
        </w:rPr>
        <w:t>  次</w:t>
      </w:r>
      <w:bookmarkEnd w:id="2"/>
      <w:bookmarkEnd w:id="3"/>
      <w:bookmarkEnd w:id="4"/>
      <w:bookmarkEnd w:id="5"/>
      <w:bookmarkEnd w:id="6"/>
      <w:bookmarkEnd w:id="7"/>
      <w:bookmarkEnd w:id="8"/>
    </w:p>
    <w:sdt>
      <w:sdtPr>
        <w:rPr>
          <w:rFonts w:ascii="Times New Roman"/>
          <w:szCs w:val="24"/>
          <w:lang w:val="zh-CN"/>
        </w:rPr>
        <w:id w:val="313997298"/>
        <w:docPartObj>
          <w:docPartGallery w:val="Table of Contents"/>
          <w:docPartUnique/>
        </w:docPartObj>
      </w:sdtPr>
      <w:sdtEndPr>
        <w:rPr>
          <w:rFonts w:ascii="宋体"/>
          <w:noProof/>
          <w:szCs w:val="21"/>
          <w:lang w:val="en-US"/>
        </w:rPr>
      </w:sdtEndPr>
      <w:sdtContent>
        <w:p w14:paraId="5B750E1A" w14:textId="38EFB445" w:rsidR="000D7E2D" w:rsidRPr="004013B5" w:rsidRDefault="002336D1" w:rsidP="00D27FAE">
          <w:pPr>
            <w:pStyle w:val="TOC1"/>
            <w:spacing w:before="78" w:after="78"/>
            <w:rPr>
              <w:rFonts w:hAnsi="宋体" w:cstheme="minorBidi"/>
              <w:noProof/>
              <w:szCs w:val="22"/>
            </w:rPr>
          </w:pPr>
          <w:r w:rsidRPr="004013B5">
            <w:rPr>
              <w:rFonts w:hAnsi="宋体"/>
              <w:noProof/>
            </w:rPr>
            <w:fldChar w:fldCharType="begin"/>
          </w:r>
          <w:r w:rsidRPr="004013B5">
            <w:rPr>
              <w:rFonts w:hAnsi="宋体"/>
              <w:noProof/>
            </w:rPr>
            <w:instrText xml:space="preserve"> TOC \o "1-3" \h \z \u </w:instrText>
          </w:r>
          <w:r w:rsidRPr="004013B5">
            <w:rPr>
              <w:rFonts w:hAnsi="宋体"/>
              <w:noProof/>
            </w:rPr>
            <w:fldChar w:fldCharType="separate"/>
          </w:r>
          <w:hyperlink w:anchor="_Toc142689387" w:history="1">
            <w:r w:rsidR="000D7E2D" w:rsidRPr="004013B5">
              <w:rPr>
                <w:rStyle w:val="af2"/>
                <w:rFonts w:hAnsi="宋体"/>
                <w:noProof/>
                <w:color w:val="auto"/>
              </w:rPr>
              <w:t>前  言</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_Toc142689387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II</w:t>
            </w:r>
            <w:r w:rsidR="000D7E2D" w:rsidRPr="004013B5">
              <w:rPr>
                <w:rFonts w:hAnsi="宋体"/>
                <w:noProof/>
                <w:webHidden/>
              </w:rPr>
              <w:fldChar w:fldCharType="end"/>
            </w:r>
          </w:hyperlink>
        </w:p>
        <w:p w14:paraId="34AADF2D" w14:textId="0F18A013" w:rsidR="000D7E2D" w:rsidRPr="004013B5" w:rsidRDefault="00F95D7C" w:rsidP="00D27FAE">
          <w:pPr>
            <w:pStyle w:val="TOC1"/>
            <w:spacing w:before="78" w:after="78"/>
            <w:rPr>
              <w:rFonts w:hAnsi="宋体" w:cstheme="minorBidi"/>
              <w:noProof/>
              <w:szCs w:val="22"/>
            </w:rPr>
          </w:pPr>
          <w:hyperlink w:anchor="_Toc142689388" w:history="1">
            <w:r w:rsidR="006B1AA6">
              <w:rPr>
                <w:rStyle w:val="af2"/>
                <w:rFonts w:hAnsi="宋体"/>
                <w:noProof/>
                <w:color w:val="auto"/>
              </w:rPr>
              <w:t>有色金属冶炼场地土壤-地下水</w:t>
            </w:r>
            <w:r w:rsidR="000D7E2D" w:rsidRPr="004013B5">
              <w:rPr>
                <w:rStyle w:val="af2"/>
                <w:rFonts w:hAnsi="宋体"/>
                <w:noProof/>
                <w:color w:val="auto"/>
              </w:rPr>
              <w:t>重金属污染协同修复技术</w:t>
            </w:r>
            <w:r w:rsidR="00674589" w:rsidRPr="004013B5">
              <w:rPr>
                <w:rStyle w:val="af2"/>
                <w:rFonts w:hAnsi="宋体" w:hint="eastAsia"/>
                <w:noProof/>
                <w:color w:val="auto"/>
              </w:rPr>
              <w:t>指南</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_Toc142689388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w:t>
            </w:r>
            <w:r w:rsidR="000D7E2D" w:rsidRPr="004013B5">
              <w:rPr>
                <w:rFonts w:hAnsi="宋体"/>
                <w:noProof/>
                <w:webHidden/>
              </w:rPr>
              <w:fldChar w:fldCharType="end"/>
            </w:r>
          </w:hyperlink>
        </w:p>
        <w:p w14:paraId="1A40921F" w14:textId="01B8A5F6" w:rsidR="000D7E2D" w:rsidRPr="004013B5" w:rsidRDefault="00F95D7C" w:rsidP="00B41E54">
          <w:pPr>
            <w:pStyle w:val="TOC1"/>
            <w:spacing w:beforeLines="0" w:afterLines="0"/>
            <w:jc w:val="both"/>
            <w:rPr>
              <w:rFonts w:hAnsi="宋体" w:cstheme="minorBidi"/>
              <w:noProof/>
              <w:szCs w:val="22"/>
            </w:rPr>
          </w:pPr>
          <w:hyperlink w:anchor="_Toc142689389" w:history="1">
            <w:r w:rsidR="000D7E2D" w:rsidRPr="004013B5">
              <w:rPr>
                <w:rStyle w:val="af2"/>
                <w:rFonts w:hAnsi="宋体"/>
                <w:noProof/>
                <w:color w:val="auto"/>
              </w:rPr>
              <w:t>1 范围</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_Toc142689389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w:t>
            </w:r>
            <w:r w:rsidR="000D7E2D" w:rsidRPr="004013B5">
              <w:rPr>
                <w:rFonts w:hAnsi="宋体"/>
                <w:noProof/>
                <w:webHidden/>
              </w:rPr>
              <w:fldChar w:fldCharType="end"/>
            </w:r>
          </w:hyperlink>
        </w:p>
        <w:p w14:paraId="3A3281C2" w14:textId="209AD327" w:rsidR="000D7E2D" w:rsidRPr="004013B5" w:rsidRDefault="00F95D7C" w:rsidP="00B41E54">
          <w:pPr>
            <w:pStyle w:val="TOC1"/>
            <w:spacing w:beforeLines="0" w:afterLines="0"/>
            <w:jc w:val="both"/>
            <w:rPr>
              <w:rFonts w:hAnsi="宋体" w:cstheme="minorBidi"/>
              <w:noProof/>
              <w:szCs w:val="22"/>
            </w:rPr>
          </w:pPr>
          <w:hyperlink w:anchor="_Toc142689390" w:history="1">
            <w:r w:rsidR="000D7E2D" w:rsidRPr="004013B5">
              <w:rPr>
                <w:rStyle w:val="af2"/>
                <w:rFonts w:hAnsi="宋体"/>
                <w:noProof/>
                <w:color w:val="auto"/>
              </w:rPr>
              <w:t>2 规范性引用文献</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_Toc142689390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w:t>
            </w:r>
            <w:r w:rsidR="000D7E2D" w:rsidRPr="004013B5">
              <w:rPr>
                <w:rFonts w:hAnsi="宋体"/>
                <w:noProof/>
                <w:webHidden/>
              </w:rPr>
              <w:fldChar w:fldCharType="end"/>
            </w:r>
          </w:hyperlink>
        </w:p>
        <w:p w14:paraId="3EA8C8CB" w14:textId="05D4F5E0" w:rsidR="000D7E2D" w:rsidRPr="004013B5" w:rsidRDefault="00F95D7C" w:rsidP="00B41E54">
          <w:pPr>
            <w:pStyle w:val="TOC1"/>
            <w:spacing w:beforeLines="0" w:afterLines="0"/>
            <w:jc w:val="both"/>
            <w:rPr>
              <w:rFonts w:hAnsi="宋体" w:cstheme="minorBidi"/>
              <w:noProof/>
              <w:szCs w:val="22"/>
            </w:rPr>
          </w:pPr>
          <w:hyperlink w:anchor="_Toc142689391" w:history="1">
            <w:r w:rsidR="000D7E2D" w:rsidRPr="004013B5">
              <w:rPr>
                <w:rStyle w:val="af2"/>
                <w:rFonts w:hAnsi="宋体"/>
                <w:noProof/>
                <w:color w:val="auto"/>
              </w:rPr>
              <w:t>3 术语和定义</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_Toc142689391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2</w:t>
            </w:r>
            <w:r w:rsidR="000D7E2D" w:rsidRPr="004013B5">
              <w:rPr>
                <w:rFonts w:hAnsi="宋体"/>
                <w:noProof/>
                <w:webHidden/>
              </w:rPr>
              <w:fldChar w:fldCharType="end"/>
            </w:r>
          </w:hyperlink>
        </w:p>
        <w:p w14:paraId="6C2BDB00" w14:textId="7254806A" w:rsidR="000D7E2D" w:rsidRPr="004013B5" w:rsidRDefault="00F95D7C" w:rsidP="00B41E54">
          <w:pPr>
            <w:pStyle w:val="TOC1"/>
            <w:spacing w:beforeLines="0" w:afterLines="0"/>
            <w:jc w:val="both"/>
            <w:rPr>
              <w:rFonts w:hAnsi="宋体" w:cstheme="minorBidi"/>
              <w:noProof/>
              <w:szCs w:val="22"/>
            </w:rPr>
          </w:pPr>
          <w:hyperlink w:anchor="_Toc142689392" w:history="1">
            <w:r w:rsidR="000D7E2D" w:rsidRPr="004013B5">
              <w:rPr>
                <w:rStyle w:val="af2"/>
                <w:rFonts w:hAnsi="宋体"/>
                <w:noProof/>
                <w:color w:val="auto"/>
              </w:rPr>
              <w:t>4 基本原则与工作流程</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_Toc142689392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4</w:t>
            </w:r>
            <w:r w:rsidR="000D7E2D" w:rsidRPr="004013B5">
              <w:rPr>
                <w:rFonts w:hAnsi="宋体"/>
                <w:noProof/>
                <w:webHidden/>
              </w:rPr>
              <w:fldChar w:fldCharType="end"/>
            </w:r>
          </w:hyperlink>
        </w:p>
        <w:p w14:paraId="697D853C" w14:textId="63FC7E05" w:rsidR="000D7E2D" w:rsidRPr="004013B5" w:rsidRDefault="00F95D7C" w:rsidP="00B41E54">
          <w:pPr>
            <w:pStyle w:val="TOC3"/>
            <w:ind w:firstLine="210"/>
            <w:rPr>
              <w:rFonts w:hAnsi="宋体"/>
              <w:noProof/>
            </w:rPr>
          </w:pPr>
          <w:hyperlink w:anchor="_Toc142689393" w:history="1">
            <w:r w:rsidR="000D7E2D" w:rsidRPr="004013B5">
              <w:rPr>
                <w:rStyle w:val="af2"/>
                <w:rFonts w:hAnsi="宋体"/>
                <w:noProof/>
                <w:color w:val="auto"/>
              </w:rPr>
              <w:t xml:space="preserve">4.1 </w:t>
            </w:r>
            <w:r w:rsidR="000D7E2D" w:rsidRPr="004013B5">
              <w:rPr>
                <w:rStyle w:val="af2"/>
                <w:noProof/>
                <w:color w:val="auto"/>
              </w:rPr>
              <w:t>基本原则</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_Toc142689393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4</w:t>
            </w:r>
            <w:r w:rsidR="000D7E2D" w:rsidRPr="004013B5">
              <w:rPr>
                <w:rFonts w:hAnsi="宋体"/>
                <w:noProof/>
                <w:webHidden/>
              </w:rPr>
              <w:fldChar w:fldCharType="end"/>
            </w:r>
          </w:hyperlink>
        </w:p>
        <w:p w14:paraId="0F6D40EA" w14:textId="619B4FFC" w:rsidR="000D7E2D" w:rsidRPr="004013B5" w:rsidRDefault="00F95D7C" w:rsidP="00B41E54">
          <w:pPr>
            <w:pStyle w:val="TOC3"/>
            <w:ind w:firstLine="210"/>
            <w:rPr>
              <w:rFonts w:hAnsi="宋体"/>
              <w:noProof/>
            </w:rPr>
          </w:pPr>
          <w:hyperlink w:anchor="_Toc142689394" w:history="1">
            <w:r w:rsidR="000D7E2D" w:rsidRPr="004013B5">
              <w:rPr>
                <w:rStyle w:val="af2"/>
                <w:rFonts w:hAnsi="宋体"/>
                <w:noProof/>
                <w:color w:val="auto"/>
              </w:rPr>
              <w:t>4.2 工作流程</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_Toc142689394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5</w:t>
            </w:r>
            <w:r w:rsidR="000D7E2D" w:rsidRPr="004013B5">
              <w:rPr>
                <w:rFonts w:hAnsi="宋体"/>
                <w:noProof/>
                <w:webHidden/>
              </w:rPr>
              <w:fldChar w:fldCharType="end"/>
            </w:r>
          </w:hyperlink>
        </w:p>
        <w:p w14:paraId="6D601CFC" w14:textId="3EA045A9" w:rsidR="000D7E2D" w:rsidRPr="004013B5" w:rsidRDefault="00F95D7C" w:rsidP="00B41E54">
          <w:pPr>
            <w:pStyle w:val="TOC1"/>
            <w:spacing w:beforeLines="0" w:afterLines="0"/>
            <w:jc w:val="both"/>
            <w:rPr>
              <w:rFonts w:hAnsi="宋体" w:cstheme="minorBidi"/>
              <w:noProof/>
              <w:szCs w:val="22"/>
            </w:rPr>
          </w:pPr>
          <w:hyperlink w:anchor="_Toc142689395" w:history="1">
            <w:r w:rsidR="000D7E2D" w:rsidRPr="004013B5">
              <w:rPr>
                <w:rStyle w:val="af2"/>
                <w:rFonts w:hAnsi="宋体"/>
                <w:noProof/>
                <w:color w:val="auto"/>
              </w:rPr>
              <w:t>5 场地污染特征刻画</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_Toc142689395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6</w:t>
            </w:r>
            <w:r w:rsidR="000D7E2D" w:rsidRPr="004013B5">
              <w:rPr>
                <w:rFonts w:hAnsi="宋体"/>
                <w:noProof/>
                <w:webHidden/>
              </w:rPr>
              <w:fldChar w:fldCharType="end"/>
            </w:r>
          </w:hyperlink>
        </w:p>
        <w:p w14:paraId="1B44D06F" w14:textId="1CBCB1B9" w:rsidR="000D7E2D" w:rsidRPr="004013B5" w:rsidRDefault="00F95D7C" w:rsidP="00B41E54">
          <w:pPr>
            <w:pStyle w:val="TOC3"/>
            <w:ind w:firstLine="210"/>
            <w:rPr>
              <w:rFonts w:hAnsi="宋体"/>
              <w:noProof/>
            </w:rPr>
          </w:pPr>
          <w:hyperlink w:anchor="_Toc142689396" w:history="1">
            <w:r w:rsidR="000D7E2D" w:rsidRPr="004013B5">
              <w:rPr>
                <w:rStyle w:val="af2"/>
                <w:rFonts w:hAnsi="宋体"/>
                <w:noProof/>
                <w:color w:val="auto"/>
              </w:rPr>
              <w:t>5.1 场地调查</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_Toc142689396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6</w:t>
            </w:r>
            <w:r w:rsidR="000D7E2D" w:rsidRPr="004013B5">
              <w:rPr>
                <w:rFonts w:hAnsi="宋体"/>
                <w:noProof/>
                <w:webHidden/>
              </w:rPr>
              <w:fldChar w:fldCharType="end"/>
            </w:r>
          </w:hyperlink>
        </w:p>
        <w:p w14:paraId="39FCE08E" w14:textId="65F768A6" w:rsidR="000D7E2D" w:rsidRPr="004013B5" w:rsidRDefault="00F95D7C" w:rsidP="00B41E54">
          <w:pPr>
            <w:pStyle w:val="TOC3"/>
            <w:ind w:firstLine="210"/>
            <w:rPr>
              <w:rFonts w:hAnsi="宋体"/>
              <w:noProof/>
            </w:rPr>
          </w:pPr>
          <w:hyperlink w:anchor="_Toc142689397" w:history="1">
            <w:r w:rsidR="000D7E2D" w:rsidRPr="004013B5">
              <w:rPr>
                <w:rStyle w:val="af2"/>
                <w:rFonts w:hAnsi="宋体"/>
                <w:noProof/>
                <w:color w:val="auto"/>
              </w:rPr>
              <w:t xml:space="preserve">5.2 </w:t>
            </w:r>
            <w:r w:rsidR="000D7E2D" w:rsidRPr="004013B5">
              <w:rPr>
                <w:rStyle w:val="af2"/>
                <w:noProof/>
                <w:color w:val="auto"/>
              </w:rPr>
              <w:t>场地</w:t>
            </w:r>
            <w:r w:rsidR="000D7E2D" w:rsidRPr="004013B5">
              <w:rPr>
                <w:rStyle w:val="af2"/>
                <w:rFonts w:hAnsi="宋体"/>
                <w:noProof/>
                <w:color w:val="auto"/>
              </w:rPr>
              <w:t>风险评估</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_Toc142689397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7</w:t>
            </w:r>
            <w:r w:rsidR="000D7E2D" w:rsidRPr="004013B5">
              <w:rPr>
                <w:rFonts w:hAnsi="宋体"/>
                <w:noProof/>
                <w:webHidden/>
              </w:rPr>
              <w:fldChar w:fldCharType="end"/>
            </w:r>
          </w:hyperlink>
        </w:p>
        <w:p w14:paraId="353F8433" w14:textId="660036D6" w:rsidR="000D7E2D" w:rsidRPr="004013B5" w:rsidRDefault="00F95D7C" w:rsidP="00B41E54">
          <w:pPr>
            <w:pStyle w:val="TOC3"/>
            <w:ind w:firstLine="210"/>
            <w:rPr>
              <w:rFonts w:hAnsi="宋体"/>
              <w:noProof/>
            </w:rPr>
          </w:pPr>
          <w:hyperlink w:anchor="_Toc142689398" w:history="1">
            <w:r w:rsidR="000D7E2D" w:rsidRPr="004013B5">
              <w:rPr>
                <w:rStyle w:val="af2"/>
                <w:rFonts w:hAnsi="宋体"/>
                <w:noProof/>
                <w:color w:val="auto"/>
              </w:rPr>
              <w:t>5.3 场地污染特征刻画</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_Toc142689398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8</w:t>
            </w:r>
            <w:r w:rsidR="000D7E2D" w:rsidRPr="004013B5">
              <w:rPr>
                <w:rFonts w:hAnsi="宋体"/>
                <w:noProof/>
                <w:webHidden/>
              </w:rPr>
              <w:fldChar w:fldCharType="end"/>
            </w:r>
          </w:hyperlink>
        </w:p>
        <w:p w14:paraId="60BF5F7C" w14:textId="30D16319" w:rsidR="000D7E2D" w:rsidRPr="004013B5" w:rsidRDefault="00F95D7C" w:rsidP="00B41E54">
          <w:pPr>
            <w:pStyle w:val="TOC1"/>
            <w:spacing w:beforeLines="0" w:afterLines="0"/>
            <w:jc w:val="both"/>
            <w:rPr>
              <w:rFonts w:hAnsi="宋体" w:cstheme="minorBidi"/>
              <w:noProof/>
              <w:szCs w:val="22"/>
            </w:rPr>
          </w:pPr>
          <w:hyperlink w:anchor="_Toc142689399" w:history="1">
            <w:r w:rsidR="000D7E2D" w:rsidRPr="004013B5">
              <w:rPr>
                <w:rStyle w:val="af2"/>
                <w:rFonts w:hAnsi="宋体"/>
                <w:noProof/>
                <w:color w:val="auto"/>
              </w:rPr>
              <w:t>6 场地污染分级与分区治理</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_Toc142689399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9</w:t>
            </w:r>
            <w:r w:rsidR="000D7E2D" w:rsidRPr="004013B5">
              <w:rPr>
                <w:rFonts w:hAnsi="宋体"/>
                <w:noProof/>
                <w:webHidden/>
              </w:rPr>
              <w:fldChar w:fldCharType="end"/>
            </w:r>
          </w:hyperlink>
        </w:p>
        <w:p w14:paraId="28BEF26A" w14:textId="2E5381C3" w:rsidR="000D7E2D" w:rsidRPr="004013B5" w:rsidRDefault="00F95D7C" w:rsidP="00B41E54">
          <w:pPr>
            <w:pStyle w:val="TOC3"/>
            <w:ind w:firstLine="210"/>
            <w:rPr>
              <w:rFonts w:hAnsi="宋体"/>
              <w:noProof/>
            </w:rPr>
          </w:pPr>
          <w:hyperlink w:anchor="_Toc142689400" w:history="1">
            <w:r w:rsidR="000D7E2D" w:rsidRPr="004013B5">
              <w:rPr>
                <w:rStyle w:val="af2"/>
                <w:rFonts w:hAnsi="宋体"/>
                <w:noProof/>
                <w:color w:val="auto"/>
              </w:rPr>
              <w:t>6.1 评价</w:t>
            </w:r>
            <w:r w:rsidR="000D7E2D" w:rsidRPr="004013B5">
              <w:rPr>
                <w:rStyle w:val="af2"/>
                <w:noProof/>
                <w:color w:val="auto"/>
              </w:rPr>
              <w:t>指标</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_Toc142689400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9</w:t>
            </w:r>
            <w:r w:rsidR="000D7E2D" w:rsidRPr="004013B5">
              <w:rPr>
                <w:rFonts w:hAnsi="宋体"/>
                <w:noProof/>
                <w:webHidden/>
              </w:rPr>
              <w:fldChar w:fldCharType="end"/>
            </w:r>
          </w:hyperlink>
        </w:p>
        <w:p w14:paraId="4066823B" w14:textId="79C3DC17" w:rsidR="000D7E2D" w:rsidRPr="004013B5" w:rsidRDefault="00F95D7C" w:rsidP="00B41E54">
          <w:pPr>
            <w:pStyle w:val="TOC3"/>
            <w:ind w:firstLine="210"/>
            <w:rPr>
              <w:rFonts w:hAnsi="宋体"/>
              <w:noProof/>
            </w:rPr>
          </w:pPr>
          <w:hyperlink w:anchor="_Toc142689401" w:history="1">
            <w:r w:rsidR="000D7E2D" w:rsidRPr="004013B5">
              <w:rPr>
                <w:rStyle w:val="af2"/>
                <w:rFonts w:hAnsi="宋体"/>
                <w:noProof/>
                <w:color w:val="auto"/>
              </w:rPr>
              <w:t>6.2 等级划分</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_Toc142689401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10</w:t>
            </w:r>
            <w:r w:rsidR="000D7E2D" w:rsidRPr="004013B5">
              <w:rPr>
                <w:rFonts w:hAnsi="宋体"/>
                <w:noProof/>
                <w:webHidden/>
              </w:rPr>
              <w:fldChar w:fldCharType="end"/>
            </w:r>
          </w:hyperlink>
        </w:p>
        <w:p w14:paraId="379EF457" w14:textId="399D214D" w:rsidR="000D7E2D" w:rsidRPr="004013B5" w:rsidRDefault="00F95D7C" w:rsidP="00B41E54">
          <w:pPr>
            <w:pStyle w:val="TOC1"/>
            <w:spacing w:beforeLines="0" w:afterLines="0"/>
            <w:jc w:val="both"/>
            <w:rPr>
              <w:rFonts w:hAnsi="宋体" w:cstheme="minorBidi"/>
              <w:noProof/>
              <w:szCs w:val="22"/>
            </w:rPr>
          </w:pPr>
          <w:hyperlink w:anchor="_Toc142689402" w:history="1">
            <w:r w:rsidR="000D7E2D" w:rsidRPr="004013B5">
              <w:rPr>
                <w:rStyle w:val="af2"/>
                <w:rFonts w:hAnsi="宋体"/>
                <w:noProof/>
                <w:color w:val="auto"/>
              </w:rPr>
              <w:t>7 土壤-地下水污染迁移规律</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_Toc142689402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10</w:t>
            </w:r>
            <w:r w:rsidR="000D7E2D" w:rsidRPr="004013B5">
              <w:rPr>
                <w:rFonts w:hAnsi="宋体"/>
                <w:noProof/>
                <w:webHidden/>
              </w:rPr>
              <w:fldChar w:fldCharType="end"/>
            </w:r>
          </w:hyperlink>
        </w:p>
        <w:p w14:paraId="68107E73" w14:textId="6BAFDD2D" w:rsidR="000D7E2D" w:rsidRPr="004013B5" w:rsidRDefault="00F95D7C" w:rsidP="00B41E54">
          <w:pPr>
            <w:pStyle w:val="TOC3"/>
            <w:ind w:firstLine="210"/>
            <w:rPr>
              <w:rFonts w:hAnsi="宋体"/>
              <w:noProof/>
            </w:rPr>
          </w:pPr>
          <w:hyperlink w:anchor="_Toc142689403" w:history="1">
            <w:r w:rsidR="000D7E2D" w:rsidRPr="004013B5">
              <w:rPr>
                <w:rStyle w:val="af2"/>
                <w:rFonts w:hAnsi="宋体"/>
                <w:noProof/>
                <w:color w:val="auto"/>
              </w:rPr>
              <w:t xml:space="preserve">7.1 </w:t>
            </w:r>
            <w:r w:rsidR="000D7E2D" w:rsidRPr="004013B5">
              <w:rPr>
                <w:rStyle w:val="af2"/>
                <w:noProof/>
                <w:color w:val="auto"/>
              </w:rPr>
              <w:t>包气带</w:t>
            </w:r>
            <w:r w:rsidR="000D7E2D" w:rsidRPr="004013B5">
              <w:rPr>
                <w:rStyle w:val="af2"/>
                <w:rFonts w:hAnsi="宋体"/>
                <w:noProof/>
                <w:color w:val="auto"/>
              </w:rPr>
              <w:t>中迁移规律</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_Toc142689403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10</w:t>
            </w:r>
            <w:r w:rsidR="000D7E2D" w:rsidRPr="004013B5">
              <w:rPr>
                <w:rFonts w:hAnsi="宋体"/>
                <w:noProof/>
                <w:webHidden/>
              </w:rPr>
              <w:fldChar w:fldCharType="end"/>
            </w:r>
          </w:hyperlink>
        </w:p>
        <w:p w14:paraId="5BD0019B" w14:textId="22FF3DBB" w:rsidR="000D7E2D" w:rsidRPr="004013B5" w:rsidRDefault="00F95D7C" w:rsidP="00B41E54">
          <w:pPr>
            <w:pStyle w:val="TOC3"/>
            <w:ind w:firstLine="210"/>
            <w:rPr>
              <w:rFonts w:hAnsi="宋体"/>
              <w:noProof/>
            </w:rPr>
          </w:pPr>
          <w:hyperlink w:anchor="_Toc142689404" w:history="1">
            <w:r w:rsidR="000D7E2D" w:rsidRPr="004013B5">
              <w:rPr>
                <w:rStyle w:val="af2"/>
                <w:rFonts w:hAnsi="宋体"/>
                <w:noProof/>
                <w:color w:val="auto"/>
              </w:rPr>
              <w:t>7.2 污染迁移趋势预测</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_Toc142689404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11</w:t>
            </w:r>
            <w:r w:rsidR="000D7E2D" w:rsidRPr="004013B5">
              <w:rPr>
                <w:rFonts w:hAnsi="宋体"/>
                <w:noProof/>
                <w:webHidden/>
              </w:rPr>
              <w:fldChar w:fldCharType="end"/>
            </w:r>
          </w:hyperlink>
        </w:p>
        <w:p w14:paraId="55DA6C80" w14:textId="75A79B74" w:rsidR="000D7E2D" w:rsidRPr="004013B5" w:rsidRDefault="00F95D7C" w:rsidP="00B41E54">
          <w:pPr>
            <w:pStyle w:val="TOC1"/>
            <w:spacing w:beforeLines="0" w:afterLines="0"/>
            <w:jc w:val="both"/>
            <w:rPr>
              <w:rFonts w:hAnsi="宋体" w:cstheme="minorBidi"/>
              <w:noProof/>
              <w:szCs w:val="22"/>
            </w:rPr>
          </w:pPr>
          <w:hyperlink w:anchor="_Toc142689405" w:history="1">
            <w:r w:rsidR="000D7E2D" w:rsidRPr="004013B5">
              <w:rPr>
                <w:rStyle w:val="af2"/>
                <w:rFonts w:hAnsi="宋体"/>
                <w:noProof/>
                <w:color w:val="auto"/>
              </w:rPr>
              <w:t>8 制定协同修复策略</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_Toc142689405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11</w:t>
            </w:r>
            <w:r w:rsidR="000D7E2D" w:rsidRPr="004013B5">
              <w:rPr>
                <w:rFonts w:hAnsi="宋体"/>
                <w:noProof/>
                <w:webHidden/>
              </w:rPr>
              <w:fldChar w:fldCharType="end"/>
            </w:r>
          </w:hyperlink>
        </w:p>
        <w:p w14:paraId="3781587F" w14:textId="3B892533" w:rsidR="000D7E2D" w:rsidRPr="004013B5" w:rsidRDefault="00F95D7C" w:rsidP="00B41E54">
          <w:pPr>
            <w:pStyle w:val="TOC3"/>
            <w:ind w:firstLine="210"/>
            <w:rPr>
              <w:rFonts w:hAnsi="宋体"/>
              <w:noProof/>
            </w:rPr>
          </w:pPr>
          <w:hyperlink w:anchor="_Toc142689406" w:history="1">
            <w:r w:rsidR="000D7E2D" w:rsidRPr="004013B5">
              <w:rPr>
                <w:rStyle w:val="af2"/>
                <w:rFonts w:hAnsi="宋体"/>
                <w:noProof/>
                <w:color w:val="auto"/>
              </w:rPr>
              <w:t>8.1 协同修复策略遵循的原则</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_Toc142689406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12</w:t>
            </w:r>
            <w:r w:rsidR="000D7E2D" w:rsidRPr="004013B5">
              <w:rPr>
                <w:rFonts w:hAnsi="宋体"/>
                <w:noProof/>
                <w:webHidden/>
              </w:rPr>
              <w:fldChar w:fldCharType="end"/>
            </w:r>
          </w:hyperlink>
        </w:p>
        <w:p w14:paraId="782CCC7C" w14:textId="17175120" w:rsidR="000D7E2D" w:rsidRPr="004013B5" w:rsidRDefault="00F95D7C" w:rsidP="00B41E54">
          <w:pPr>
            <w:pStyle w:val="TOC3"/>
            <w:ind w:firstLine="210"/>
            <w:rPr>
              <w:rFonts w:hAnsi="宋体"/>
              <w:noProof/>
            </w:rPr>
          </w:pPr>
          <w:hyperlink w:anchor="_Toc142689407" w:history="1">
            <w:r w:rsidR="000D7E2D" w:rsidRPr="004013B5">
              <w:rPr>
                <w:rStyle w:val="af2"/>
                <w:rFonts w:hAnsi="宋体"/>
                <w:noProof/>
                <w:color w:val="auto"/>
              </w:rPr>
              <w:t>8.2 协同</w:t>
            </w:r>
            <w:r w:rsidR="000D7E2D" w:rsidRPr="004013B5">
              <w:rPr>
                <w:rStyle w:val="af2"/>
                <w:noProof/>
                <w:color w:val="auto"/>
              </w:rPr>
              <w:t>修复</w:t>
            </w:r>
            <w:r w:rsidR="000D7E2D" w:rsidRPr="004013B5">
              <w:rPr>
                <w:rStyle w:val="af2"/>
                <w:rFonts w:hAnsi="宋体"/>
                <w:noProof/>
                <w:color w:val="auto"/>
              </w:rPr>
              <w:t>策略制定的过程</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_Toc142689407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12</w:t>
            </w:r>
            <w:r w:rsidR="000D7E2D" w:rsidRPr="004013B5">
              <w:rPr>
                <w:rFonts w:hAnsi="宋体"/>
                <w:noProof/>
                <w:webHidden/>
              </w:rPr>
              <w:fldChar w:fldCharType="end"/>
            </w:r>
          </w:hyperlink>
        </w:p>
        <w:p w14:paraId="69ADB4C5" w14:textId="4FFCD7A5" w:rsidR="000D7E2D" w:rsidRPr="004013B5" w:rsidRDefault="00F95D7C" w:rsidP="00B41E54">
          <w:pPr>
            <w:pStyle w:val="TOC1"/>
            <w:spacing w:beforeLines="0" w:afterLines="0"/>
            <w:jc w:val="both"/>
            <w:rPr>
              <w:rFonts w:hAnsi="宋体" w:cstheme="minorBidi"/>
              <w:noProof/>
              <w:szCs w:val="22"/>
            </w:rPr>
          </w:pPr>
          <w:hyperlink w:anchor="_Toc142689408" w:history="1">
            <w:r w:rsidR="000D7E2D" w:rsidRPr="004013B5">
              <w:rPr>
                <w:rStyle w:val="af2"/>
                <w:rFonts w:hAnsi="宋体"/>
                <w:noProof/>
                <w:color w:val="auto"/>
              </w:rPr>
              <w:t>9 协同修复技术比选</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_Toc142689408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12</w:t>
            </w:r>
            <w:r w:rsidR="000D7E2D" w:rsidRPr="004013B5">
              <w:rPr>
                <w:rFonts w:hAnsi="宋体"/>
                <w:noProof/>
                <w:webHidden/>
              </w:rPr>
              <w:fldChar w:fldCharType="end"/>
            </w:r>
          </w:hyperlink>
        </w:p>
        <w:p w14:paraId="47FCCFFE" w14:textId="6B7310E1" w:rsidR="000D7E2D" w:rsidRPr="004013B5" w:rsidRDefault="00F95D7C" w:rsidP="00B41E54">
          <w:pPr>
            <w:pStyle w:val="TOC3"/>
            <w:ind w:firstLine="210"/>
            <w:rPr>
              <w:rFonts w:hAnsi="宋体"/>
              <w:noProof/>
            </w:rPr>
          </w:pPr>
          <w:hyperlink w:anchor="_Toc142689409" w:history="1">
            <w:r w:rsidR="000D7E2D" w:rsidRPr="004013B5">
              <w:rPr>
                <w:rStyle w:val="af2"/>
                <w:rFonts w:hAnsi="宋体"/>
                <w:noProof/>
                <w:color w:val="auto"/>
              </w:rPr>
              <w:t>9.1 协同修复技术比选思路</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_Toc142689409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12</w:t>
            </w:r>
            <w:r w:rsidR="000D7E2D" w:rsidRPr="004013B5">
              <w:rPr>
                <w:rFonts w:hAnsi="宋体"/>
                <w:noProof/>
                <w:webHidden/>
              </w:rPr>
              <w:fldChar w:fldCharType="end"/>
            </w:r>
          </w:hyperlink>
        </w:p>
        <w:p w14:paraId="48C428BA" w14:textId="28F9CBA1" w:rsidR="000D7E2D" w:rsidRPr="004013B5" w:rsidRDefault="00F95D7C" w:rsidP="00B41E54">
          <w:pPr>
            <w:pStyle w:val="TOC3"/>
            <w:ind w:firstLine="210"/>
            <w:rPr>
              <w:rFonts w:hAnsi="宋体"/>
              <w:noProof/>
            </w:rPr>
          </w:pPr>
          <w:hyperlink w:anchor="_Toc142689410" w:history="1">
            <w:r w:rsidR="000D7E2D" w:rsidRPr="004013B5">
              <w:rPr>
                <w:rStyle w:val="af2"/>
                <w:rFonts w:hAnsi="宋体"/>
                <w:noProof/>
                <w:color w:val="auto"/>
              </w:rPr>
              <w:t>9.2 常用土壤修复技术适用场景</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_Toc142689410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13</w:t>
            </w:r>
            <w:r w:rsidR="000D7E2D" w:rsidRPr="004013B5">
              <w:rPr>
                <w:rFonts w:hAnsi="宋体"/>
                <w:noProof/>
                <w:webHidden/>
              </w:rPr>
              <w:fldChar w:fldCharType="end"/>
            </w:r>
          </w:hyperlink>
        </w:p>
        <w:p w14:paraId="285B3F2A" w14:textId="7E229A06" w:rsidR="000D7E2D" w:rsidRPr="004013B5" w:rsidRDefault="00F95D7C" w:rsidP="00B41E54">
          <w:pPr>
            <w:pStyle w:val="TOC3"/>
            <w:ind w:firstLine="210"/>
            <w:rPr>
              <w:rFonts w:hAnsi="宋体"/>
              <w:noProof/>
            </w:rPr>
          </w:pPr>
          <w:hyperlink w:anchor="_Toc142689411" w:history="1">
            <w:r w:rsidR="000D7E2D" w:rsidRPr="004013B5">
              <w:rPr>
                <w:rStyle w:val="af2"/>
                <w:rFonts w:hAnsi="宋体"/>
                <w:noProof/>
                <w:color w:val="auto"/>
              </w:rPr>
              <w:t>9.3 常用</w:t>
            </w:r>
            <w:r w:rsidR="000D7E2D" w:rsidRPr="004013B5">
              <w:rPr>
                <w:rStyle w:val="af2"/>
                <w:noProof/>
                <w:color w:val="auto"/>
              </w:rPr>
              <w:t>地下水</w:t>
            </w:r>
            <w:r w:rsidR="000D7E2D" w:rsidRPr="004013B5">
              <w:rPr>
                <w:rStyle w:val="af2"/>
                <w:rFonts w:hAnsi="宋体"/>
                <w:noProof/>
                <w:color w:val="auto"/>
              </w:rPr>
              <w:t>修复技术适用场景</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_Toc142689411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13</w:t>
            </w:r>
            <w:r w:rsidR="000D7E2D" w:rsidRPr="004013B5">
              <w:rPr>
                <w:rFonts w:hAnsi="宋体"/>
                <w:noProof/>
                <w:webHidden/>
              </w:rPr>
              <w:fldChar w:fldCharType="end"/>
            </w:r>
          </w:hyperlink>
        </w:p>
        <w:p w14:paraId="4F92EEB2" w14:textId="79D59D2C" w:rsidR="000D7E2D" w:rsidRPr="004013B5" w:rsidRDefault="00F95D7C" w:rsidP="00B41E54">
          <w:pPr>
            <w:pStyle w:val="TOC1"/>
            <w:spacing w:beforeLines="0" w:afterLines="0"/>
            <w:jc w:val="both"/>
            <w:rPr>
              <w:rFonts w:hAnsi="宋体" w:cstheme="minorBidi"/>
              <w:noProof/>
              <w:szCs w:val="22"/>
            </w:rPr>
          </w:pPr>
          <w:hyperlink w:anchor="_Toc142689412" w:history="1">
            <w:r w:rsidR="000D7E2D" w:rsidRPr="004013B5">
              <w:rPr>
                <w:rStyle w:val="af2"/>
                <w:rFonts w:hAnsi="宋体"/>
                <w:noProof/>
                <w:color w:val="auto"/>
              </w:rPr>
              <w:t>10 有色冶炼场地协同修复技术集成</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_Toc142689412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14</w:t>
            </w:r>
            <w:r w:rsidR="000D7E2D" w:rsidRPr="004013B5">
              <w:rPr>
                <w:rFonts w:hAnsi="宋体"/>
                <w:noProof/>
                <w:webHidden/>
              </w:rPr>
              <w:fldChar w:fldCharType="end"/>
            </w:r>
          </w:hyperlink>
        </w:p>
        <w:p w14:paraId="52DC0498" w14:textId="5752C390" w:rsidR="000D7E2D" w:rsidRPr="004013B5" w:rsidRDefault="00F95D7C" w:rsidP="00B41E54">
          <w:pPr>
            <w:pStyle w:val="TOC3"/>
            <w:ind w:firstLine="210"/>
            <w:rPr>
              <w:rFonts w:hAnsi="宋体"/>
              <w:noProof/>
            </w:rPr>
          </w:pPr>
          <w:hyperlink w:anchor="_Toc142689413" w:history="1">
            <w:r w:rsidR="000D7E2D" w:rsidRPr="004013B5">
              <w:rPr>
                <w:rStyle w:val="af2"/>
                <w:rFonts w:hAnsi="宋体"/>
                <w:noProof/>
                <w:color w:val="auto"/>
              </w:rPr>
              <w:t>10.1 土壤多金属同步固化/稳定化长效修复技术</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_Toc142689413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14</w:t>
            </w:r>
            <w:r w:rsidR="000D7E2D" w:rsidRPr="004013B5">
              <w:rPr>
                <w:rFonts w:hAnsi="宋体"/>
                <w:noProof/>
                <w:webHidden/>
              </w:rPr>
              <w:fldChar w:fldCharType="end"/>
            </w:r>
          </w:hyperlink>
        </w:p>
        <w:p w14:paraId="5DA92491" w14:textId="3DC02DF7" w:rsidR="000D7E2D" w:rsidRPr="004013B5" w:rsidRDefault="00F95D7C" w:rsidP="00B41E54">
          <w:pPr>
            <w:pStyle w:val="TOC3"/>
            <w:ind w:firstLine="210"/>
            <w:rPr>
              <w:rFonts w:hAnsi="宋体"/>
              <w:noProof/>
            </w:rPr>
          </w:pPr>
          <w:hyperlink w:anchor="_Toc142689414" w:history="1">
            <w:r w:rsidR="000D7E2D" w:rsidRPr="004013B5">
              <w:rPr>
                <w:rStyle w:val="af2"/>
                <w:rFonts w:hAnsi="宋体"/>
                <w:noProof/>
                <w:color w:val="auto"/>
              </w:rPr>
              <w:t>10.2 地下水重金属污染精准修复及分级阻断技术</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_Toc142689414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15</w:t>
            </w:r>
            <w:r w:rsidR="000D7E2D" w:rsidRPr="004013B5">
              <w:rPr>
                <w:rFonts w:hAnsi="宋体"/>
                <w:noProof/>
                <w:webHidden/>
              </w:rPr>
              <w:fldChar w:fldCharType="end"/>
            </w:r>
          </w:hyperlink>
        </w:p>
        <w:p w14:paraId="3CECB75A" w14:textId="5183C3B9" w:rsidR="000D7E2D" w:rsidRPr="004013B5" w:rsidRDefault="00F95D7C" w:rsidP="00B41E54">
          <w:pPr>
            <w:pStyle w:val="TOC3"/>
            <w:ind w:firstLine="210"/>
            <w:rPr>
              <w:rFonts w:hAnsi="宋体"/>
              <w:noProof/>
            </w:rPr>
          </w:pPr>
          <w:hyperlink w:anchor="_Toc142689415" w:history="1">
            <w:r w:rsidR="000D7E2D" w:rsidRPr="004013B5">
              <w:rPr>
                <w:rStyle w:val="af2"/>
                <w:rFonts w:hAnsi="宋体"/>
                <w:noProof/>
                <w:color w:val="auto"/>
              </w:rPr>
              <w:t>10.3 土壤</w:t>
            </w:r>
            <w:r w:rsidR="000D7E2D" w:rsidRPr="004013B5">
              <w:rPr>
                <w:rStyle w:val="af2"/>
                <w:noProof/>
                <w:color w:val="auto"/>
              </w:rPr>
              <w:t>功能</w:t>
            </w:r>
            <w:r w:rsidR="000D7E2D" w:rsidRPr="004013B5">
              <w:rPr>
                <w:rStyle w:val="af2"/>
                <w:rFonts w:hAnsi="宋体"/>
                <w:noProof/>
                <w:color w:val="auto"/>
              </w:rPr>
              <w:t>修复及生态重构技术</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_Toc142689415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16</w:t>
            </w:r>
            <w:r w:rsidR="000D7E2D" w:rsidRPr="004013B5">
              <w:rPr>
                <w:rFonts w:hAnsi="宋体"/>
                <w:noProof/>
                <w:webHidden/>
              </w:rPr>
              <w:fldChar w:fldCharType="end"/>
            </w:r>
          </w:hyperlink>
        </w:p>
        <w:p w14:paraId="6042C804" w14:textId="41C44EA5" w:rsidR="000D7E2D" w:rsidRPr="004013B5" w:rsidRDefault="00F95D7C" w:rsidP="00B41E54">
          <w:pPr>
            <w:pStyle w:val="TOC1"/>
            <w:spacing w:beforeLines="0" w:afterLines="0"/>
            <w:jc w:val="both"/>
            <w:rPr>
              <w:rFonts w:hAnsi="宋体" w:cstheme="minorBidi"/>
              <w:noProof/>
              <w:szCs w:val="22"/>
            </w:rPr>
          </w:pPr>
          <w:hyperlink w:anchor="_Toc142689416" w:history="1">
            <w:r w:rsidR="000D7E2D" w:rsidRPr="004013B5">
              <w:rPr>
                <w:rStyle w:val="af2"/>
                <w:rFonts w:hAnsi="宋体"/>
                <w:noProof/>
                <w:color w:val="auto"/>
              </w:rPr>
              <w:t>11 制定修复技术方案</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_Toc142689416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17</w:t>
            </w:r>
            <w:r w:rsidR="000D7E2D" w:rsidRPr="004013B5">
              <w:rPr>
                <w:rFonts w:hAnsi="宋体"/>
                <w:noProof/>
                <w:webHidden/>
              </w:rPr>
              <w:fldChar w:fldCharType="end"/>
            </w:r>
          </w:hyperlink>
        </w:p>
        <w:p w14:paraId="7D0036DD" w14:textId="4F1546EC" w:rsidR="000D7E2D" w:rsidRPr="004013B5" w:rsidRDefault="00F95D7C" w:rsidP="00B41E54">
          <w:pPr>
            <w:pStyle w:val="TOC3"/>
            <w:ind w:firstLine="210"/>
            <w:rPr>
              <w:rFonts w:hAnsi="宋体"/>
              <w:noProof/>
            </w:rPr>
          </w:pPr>
          <w:hyperlink w:anchor="_Toc142689417" w:history="1">
            <w:r w:rsidR="000D7E2D" w:rsidRPr="004013B5">
              <w:rPr>
                <w:rStyle w:val="af2"/>
                <w:rFonts w:hAnsi="宋体"/>
                <w:noProof/>
                <w:color w:val="auto"/>
              </w:rPr>
              <w:t>11.1 集成修复技术</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_Toc142689417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17</w:t>
            </w:r>
            <w:r w:rsidR="000D7E2D" w:rsidRPr="004013B5">
              <w:rPr>
                <w:rFonts w:hAnsi="宋体"/>
                <w:noProof/>
                <w:webHidden/>
              </w:rPr>
              <w:fldChar w:fldCharType="end"/>
            </w:r>
          </w:hyperlink>
        </w:p>
        <w:p w14:paraId="0C45AE54" w14:textId="2A3B69B0" w:rsidR="000D7E2D" w:rsidRPr="004013B5" w:rsidRDefault="00F95D7C" w:rsidP="00B41E54">
          <w:pPr>
            <w:pStyle w:val="TOC3"/>
            <w:ind w:firstLine="210"/>
            <w:rPr>
              <w:rFonts w:hAnsi="宋体"/>
              <w:noProof/>
            </w:rPr>
          </w:pPr>
          <w:hyperlink w:anchor="_Toc142689418" w:history="1">
            <w:r w:rsidR="000D7E2D" w:rsidRPr="004013B5">
              <w:rPr>
                <w:rStyle w:val="af2"/>
                <w:rFonts w:hAnsi="宋体"/>
                <w:noProof/>
                <w:color w:val="auto"/>
              </w:rPr>
              <w:t>11.2 确定修复技术的工艺参数</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_Toc142689418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17</w:t>
            </w:r>
            <w:r w:rsidR="000D7E2D" w:rsidRPr="004013B5">
              <w:rPr>
                <w:rFonts w:hAnsi="宋体"/>
                <w:noProof/>
                <w:webHidden/>
              </w:rPr>
              <w:fldChar w:fldCharType="end"/>
            </w:r>
          </w:hyperlink>
        </w:p>
        <w:p w14:paraId="683D91AC" w14:textId="25221FF4" w:rsidR="000D7E2D" w:rsidRPr="004013B5" w:rsidRDefault="00F95D7C" w:rsidP="00B41E54">
          <w:pPr>
            <w:pStyle w:val="TOC3"/>
            <w:ind w:firstLine="210"/>
            <w:rPr>
              <w:rFonts w:hAnsi="宋体"/>
              <w:noProof/>
            </w:rPr>
          </w:pPr>
          <w:hyperlink w:anchor="_Toc142689419" w:history="1">
            <w:r w:rsidR="000D7E2D" w:rsidRPr="004013B5">
              <w:rPr>
                <w:rStyle w:val="af2"/>
                <w:rFonts w:hAnsi="宋体"/>
                <w:noProof/>
                <w:color w:val="auto"/>
              </w:rPr>
              <w:t>11.3 估算修复工程量</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_Toc142689419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17</w:t>
            </w:r>
            <w:r w:rsidR="000D7E2D" w:rsidRPr="004013B5">
              <w:rPr>
                <w:rFonts w:hAnsi="宋体"/>
                <w:noProof/>
                <w:webHidden/>
              </w:rPr>
              <w:fldChar w:fldCharType="end"/>
            </w:r>
          </w:hyperlink>
        </w:p>
        <w:p w14:paraId="1D0A666D" w14:textId="472C4B04" w:rsidR="000D7E2D" w:rsidRPr="004013B5" w:rsidRDefault="00F95D7C" w:rsidP="00B41E54">
          <w:pPr>
            <w:pStyle w:val="TOC3"/>
            <w:ind w:firstLine="210"/>
            <w:rPr>
              <w:rFonts w:hAnsi="宋体"/>
              <w:noProof/>
            </w:rPr>
          </w:pPr>
          <w:hyperlink w:anchor="_Toc142689420" w:history="1">
            <w:r w:rsidR="000D7E2D" w:rsidRPr="004013B5">
              <w:rPr>
                <w:rStyle w:val="af2"/>
                <w:rFonts w:hAnsi="宋体"/>
                <w:noProof/>
                <w:color w:val="auto"/>
              </w:rPr>
              <w:t>11.4 估算费用和周期</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_Toc142689420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17</w:t>
            </w:r>
            <w:r w:rsidR="000D7E2D" w:rsidRPr="004013B5">
              <w:rPr>
                <w:rFonts w:hAnsi="宋体"/>
                <w:noProof/>
                <w:webHidden/>
              </w:rPr>
              <w:fldChar w:fldCharType="end"/>
            </w:r>
          </w:hyperlink>
        </w:p>
        <w:p w14:paraId="33082F80" w14:textId="79916923" w:rsidR="000D7E2D" w:rsidRPr="004013B5" w:rsidRDefault="00F95D7C" w:rsidP="00B41E54">
          <w:pPr>
            <w:pStyle w:val="TOC3"/>
            <w:ind w:firstLine="210"/>
            <w:rPr>
              <w:rFonts w:hAnsi="宋体"/>
              <w:noProof/>
            </w:rPr>
          </w:pPr>
          <w:hyperlink w:anchor="_Toc142689421" w:history="1">
            <w:r w:rsidR="000D7E2D" w:rsidRPr="004013B5">
              <w:rPr>
                <w:rStyle w:val="af2"/>
                <w:rFonts w:hAnsi="宋体"/>
                <w:noProof/>
                <w:color w:val="auto"/>
              </w:rPr>
              <w:t>11.5 制定场地修复的</w:t>
            </w:r>
            <w:r w:rsidR="000D7E2D" w:rsidRPr="004013B5">
              <w:rPr>
                <w:rStyle w:val="af2"/>
                <w:noProof/>
                <w:color w:val="auto"/>
              </w:rPr>
              <w:t>监测</w:t>
            </w:r>
            <w:r w:rsidR="000D7E2D" w:rsidRPr="004013B5">
              <w:rPr>
                <w:rStyle w:val="af2"/>
                <w:rFonts w:hAnsi="宋体"/>
                <w:noProof/>
                <w:color w:val="auto"/>
              </w:rPr>
              <w:t>计划</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_Toc142689421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17</w:t>
            </w:r>
            <w:r w:rsidR="000D7E2D" w:rsidRPr="004013B5">
              <w:rPr>
                <w:rFonts w:hAnsi="宋体"/>
                <w:noProof/>
                <w:webHidden/>
              </w:rPr>
              <w:fldChar w:fldCharType="end"/>
            </w:r>
          </w:hyperlink>
        </w:p>
        <w:p w14:paraId="5C131B6A" w14:textId="4A0887E1" w:rsidR="000D7E2D" w:rsidRPr="004013B5" w:rsidRDefault="00F95D7C" w:rsidP="00B41E54">
          <w:pPr>
            <w:pStyle w:val="TOC3"/>
            <w:ind w:firstLine="210"/>
            <w:rPr>
              <w:rFonts w:hAnsi="宋体"/>
              <w:noProof/>
            </w:rPr>
          </w:pPr>
          <w:hyperlink w:anchor="_Toc142689422" w:history="1">
            <w:r w:rsidR="000D7E2D" w:rsidRPr="004013B5">
              <w:rPr>
                <w:rStyle w:val="af2"/>
                <w:rFonts w:hAnsi="宋体"/>
                <w:noProof/>
                <w:color w:val="auto"/>
              </w:rPr>
              <w:t>11.6 成本效益分析</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_Toc142689422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18</w:t>
            </w:r>
            <w:r w:rsidR="000D7E2D" w:rsidRPr="004013B5">
              <w:rPr>
                <w:rFonts w:hAnsi="宋体"/>
                <w:noProof/>
                <w:webHidden/>
              </w:rPr>
              <w:fldChar w:fldCharType="end"/>
            </w:r>
          </w:hyperlink>
        </w:p>
        <w:p w14:paraId="640F8A25" w14:textId="07BA64EB" w:rsidR="000D7E2D" w:rsidRPr="004013B5" w:rsidRDefault="00F95D7C" w:rsidP="00B41E54">
          <w:pPr>
            <w:pStyle w:val="TOC3"/>
            <w:ind w:firstLine="210"/>
            <w:rPr>
              <w:rFonts w:hAnsi="宋体"/>
              <w:noProof/>
            </w:rPr>
          </w:pPr>
          <w:hyperlink w:anchor="_Toc142689423" w:history="1">
            <w:r w:rsidR="000D7E2D" w:rsidRPr="004013B5">
              <w:rPr>
                <w:rStyle w:val="af2"/>
                <w:rFonts w:hAnsi="宋体"/>
                <w:noProof/>
                <w:color w:val="auto"/>
              </w:rPr>
              <w:t xml:space="preserve">11.7 </w:t>
            </w:r>
            <w:r w:rsidR="000D7E2D" w:rsidRPr="004013B5">
              <w:rPr>
                <w:rStyle w:val="af2"/>
                <w:noProof/>
                <w:color w:val="auto"/>
              </w:rPr>
              <w:t>环境影响</w:t>
            </w:r>
            <w:r w:rsidR="000D7E2D" w:rsidRPr="004013B5">
              <w:rPr>
                <w:rStyle w:val="af2"/>
                <w:rFonts w:hAnsi="宋体"/>
                <w:noProof/>
                <w:color w:val="auto"/>
              </w:rPr>
              <w:t>分析</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_Toc142689423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18</w:t>
            </w:r>
            <w:r w:rsidR="000D7E2D" w:rsidRPr="004013B5">
              <w:rPr>
                <w:rFonts w:hAnsi="宋体"/>
                <w:noProof/>
                <w:webHidden/>
              </w:rPr>
              <w:fldChar w:fldCharType="end"/>
            </w:r>
          </w:hyperlink>
        </w:p>
        <w:p w14:paraId="4333A913" w14:textId="625B328B" w:rsidR="000D7E2D" w:rsidRPr="004013B5" w:rsidRDefault="00F95D7C" w:rsidP="00B41E54">
          <w:pPr>
            <w:pStyle w:val="TOC3"/>
            <w:ind w:firstLine="210"/>
            <w:rPr>
              <w:rFonts w:hAnsi="宋体"/>
              <w:noProof/>
            </w:rPr>
          </w:pPr>
          <w:hyperlink w:anchor="_Toc142689424" w:history="1">
            <w:r w:rsidR="000D7E2D" w:rsidRPr="004013B5">
              <w:rPr>
                <w:rStyle w:val="af2"/>
                <w:rFonts w:hAnsi="宋体"/>
                <w:noProof/>
                <w:color w:val="auto"/>
              </w:rPr>
              <w:t xml:space="preserve">11.8 </w:t>
            </w:r>
            <w:r w:rsidR="000D7E2D" w:rsidRPr="004013B5">
              <w:rPr>
                <w:rStyle w:val="af2"/>
                <w:noProof/>
                <w:color w:val="auto"/>
              </w:rPr>
              <w:t>施工</w:t>
            </w:r>
            <w:r w:rsidR="000D7E2D" w:rsidRPr="004013B5">
              <w:rPr>
                <w:rStyle w:val="af2"/>
                <w:rFonts w:hAnsi="宋体"/>
                <w:noProof/>
                <w:color w:val="auto"/>
              </w:rPr>
              <w:t>进度计划</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_Toc142689424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18</w:t>
            </w:r>
            <w:r w:rsidR="000D7E2D" w:rsidRPr="004013B5">
              <w:rPr>
                <w:rFonts w:hAnsi="宋体"/>
                <w:noProof/>
                <w:webHidden/>
              </w:rPr>
              <w:fldChar w:fldCharType="end"/>
            </w:r>
          </w:hyperlink>
        </w:p>
        <w:p w14:paraId="2FEA0C81" w14:textId="55CD1D73" w:rsidR="000D7E2D" w:rsidRPr="004013B5" w:rsidRDefault="00F95D7C" w:rsidP="00B41E54">
          <w:pPr>
            <w:pStyle w:val="TOC1"/>
            <w:spacing w:beforeLines="0" w:afterLines="0"/>
            <w:jc w:val="both"/>
            <w:rPr>
              <w:rFonts w:hAnsi="宋体" w:cstheme="minorBidi"/>
              <w:noProof/>
              <w:szCs w:val="22"/>
            </w:rPr>
          </w:pPr>
          <w:hyperlink w:anchor="_Toc142689425" w:history="1">
            <w:r w:rsidR="000D7E2D" w:rsidRPr="004013B5">
              <w:rPr>
                <w:rStyle w:val="af2"/>
                <w:rFonts w:hAnsi="宋体"/>
                <w:noProof/>
                <w:color w:val="auto"/>
              </w:rPr>
              <w:t>12 制定环境管理计划</w:t>
            </w:r>
            <w:r w:rsidR="000D7E2D" w:rsidRPr="004013B5">
              <w:rPr>
                <w:rFonts w:hAnsi="宋体"/>
                <w:noProof/>
                <w:webHidden/>
              </w:rPr>
              <w:tab/>
            </w:r>
            <w:r w:rsidR="000D7E2D" w:rsidRPr="004013B5">
              <w:rPr>
                <w:rFonts w:hAnsi="宋体"/>
                <w:noProof/>
                <w:webHidden/>
              </w:rPr>
              <w:fldChar w:fldCharType="begin"/>
            </w:r>
            <w:r w:rsidR="000D7E2D" w:rsidRPr="004013B5">
              <w:rPr>
                <w:rFonts w:hAnsi="宋体"/>
                <w:noProof/>
                <w:webHidden/>
              </w:rPr>
              <w:instrText xml:space="preserve"> PAGEREF _Toc142689425 \h </w:instrText>
            </w:r>
            <w:r w:rsidR="000D7E2D" w:rsidRPr="004013B5">
              <w:rPr>
                <w:rFonts w:hAnsi="宋体"/>
                <w:noProof/>
                <w:webHidden/>
              </w:rPr>
            </w:r>
            <w:r w:rsidR="000D7E2D" w:rsidRPr="004013B5">
              <w:rPr>
                <w:rFonts w:hAnsi="宋体"/>
                <w:noProof/>
                <w:webHidden/>
              </w:rPr>
              <w:fldChar w:fldCharType="separate"/>
            </w:r>
            <w:r w:rsidR="005546FD" w:rsidRPr="004013B5">
              <w:rPr>
                <w:rFonts w:hAnsi="宋体"/>
                <w:noProof/>
                <w:webHidden/>
              </w:rPr>
              <w:t>18</w:t>
            </w:r>
            <w:r w:rsidR="000D7E2D" w:rsidRPr="004013B5">
              <w:rPr>
                <w:rFonts w:hAnsi="宋体"/>
                <w:noProof/>
                <w:webHidden/>
              </w:rPr>
              <w:fldChar w:fldCharType="end"/>
            </w:r>
          </w:hyperlink>
        </w:p>
        <w:p w14:paraId="77681C67" w14:textId="40EE7918" w:rsidR="002336D1" w:rsidRPr="004013B5" w:rsidRDefault="002336D1" w:rsidP="000D7E2D">
          <w:pPr>
            <w:pStyle w:val="TOC1"/>
            <w:spacing w:beforeLines="0" w:afterLines="0"/>
            <w:rPr>
              <w:noProof/>
            </w:rPr>
          </w:pPr>
          <w:r w:rsidRPr="004013B5">
            <w:rPr>
              <w:rFonts w:hAnsi="宋体"/>
              <w:noProof/>
            </w:rPr>
            <w:fldChar w:fldCharType="end"/>
          </w:r>
        </w:p>
      </w:sdtContent>
    </w:sdt>
    <w:p w14:paraId="061EEA77" w14:textId="77777777" w:rsidR="008F6058" w:rsidRPr="004013B5" w:rsidRDefault="00664EDD">
      <w:pPr>
        <w:jc w:val="center"/>
        <w:rPr>
          <w:rFonts w:ascii="Times New Roman" w:eastAsia="宋体" w:hAnsi="Times New Roman" w:cs="Times New Roman"/>
          <w:sz w:val="24"/>
          <w:szCs w:val="24"/>
        </w:rPr>
      </w:pPr>
      <w:r w:rsidRPr="004013B5">
        <w:rPr>
          <w:rFonts w:ascii="Times New Roman" w:eastAsia="宋体" w:hAnsi="Times New Roman" w:cs="Times New Roman"/>
          <w:sz w:val="24"/>
          <w:szCs w:val="24"/>
        </w:rPr>
        <w:br w:type="page"/>
      </w:r>
    </w:p>
    <w:p w14:paraId="6B1590EC" w14:textId="77777777" w:rsidR="008F6058" w:rsidRPr="004013B5" w:rsidRDefault="008F6058">
      <w:pPr>
        <w:rPr>
          <w:rFonts w:ascii="Times New Roman" w:eastAsia="宋体" w:hAnsi="Times New Roman" w:cs="Times New Roman"/>
          <w:sz w:val="24"/>
          <w:szCs w:val="24"/>
        </w:rPr>
      </w:pPr>
    </w:p>
    <w:p w14:paraId="3565A8B1" w14:textId="77777777" w:rsidR="008F6058" w:rsidRPr="004013B5" w:rsidRDefault="00664EDD">
      <w:pPr>
        <w:jc w:val="center"/>
        <w:outlineLvl w:val="0"/>
        <w:rPr>
          <w:rFonts w:ascii="Times New Roman" w:eastAsia="宋体" w:hAnsi="Times New Roman" w:cs="Times New Roman"/>
          <w:b/>
          <w:bCs/>
          <w:sz w:val="32"/>
          <w:szCs w:val="32"/>
        </w:rPr>
      </w:pPr>
      <w:bookmarkStart w:id="9" w:name="_Toc142689387"/>
      <w:r w:rsidRPr="004013B5">
        <w:rPr>
          <w:rFonts w:ascii="Times New Roman" w:eastAsia="宋体" w:hAnsi="Times New Roman" w:cs="Times New Roman"/>
          <w:b/>
          <w:bCs/>
          <w:sz w:val="32"/>
          <w:szCs w:val="32"/>
        </w:rPr>
        <w:t>前</w:t>
      </w:r>
      <w:r w:rsidRPr="004013B5">
        <w:rPr>
          <w:rFonts w:ascii="Times New Roman" w:eastAsia="宋体" w:hAnsi="Times New Roman" w:cs="Times New Roman" w:hint="eastAsia"/>
          <w:color w:val="000000"/>
          <w:sz w:val="32"/>
          <w:szCs w:val="32"/>
        </w:rPr>
        <w:t>  </w:t>
      </w:r>
      <w:r w:rsidRPr="004013B5">
        <w:rPr>
          <w:rFonts w:ascii="Times New Roman" w:eastAsia="宋体" w:hAnsi="Times New Roman" w:cs="Times New Roman"/>
          <w:b/>
          <w:bCs/>
          <w:sz w:val="32"/>
          <w:szCs w:val="32"/>
        </w:rPr>
        <w:t>言</w:t>
      </w:r>
      <w:bookmarkEnd w:id="9"/>
    </w:p>
    <w:p w14:paraId="18056AFD" w14:textId="289A406E"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为贯彻《中华人民共和国环境保护法》、《中华人民共和国土壤污染防治法》和《国务院关于加强环境保护重点工作的意见》，</w:t>
      </w:r>
      <w:r w:rsidR="00F859E1" w:rsidRPr="004013B5">
        <w:rPr>
          <w:rFonts w:ascii="Times New Roman" w:eastAsia="宋体" w:hAnsi="Times New Roman" w:cs="Times New Roman" w:hint="eastAsia"/>
          <w:szCs w:val="21"/>
        </w:rPr>
        <w:t>保护</w:t>
      </w:r>
      <w:r w:rsidRPr="004013B5">
        <w:rPr>
          <w:rFonts w:ascii="Times New Roman" w:eastAsia="宋体" w:hAnsi="Times New Roman" w:cs="Times New Roman"/>
          <w:szCs w:val="21"/>
        </w:rPr>
        <w:t>有色</w:t>
      </w:r>
      <w:r w:rsidR="00DA127A" w:rsidRPr="004013B5">
        <w:rPr>
          <w:rFonts w:ascii="Times New Roman" w:eastAsia="宋体" w:hAnsi="Times New Roman" w:cs="Times New Roman" w:hint="eastAsia"/>
          <w:szCs w:val="21"/>
        </w:rPr>
        <w:t>金属</w:t>
      </w:r>
      <w:r w:rsidRPr="004013B5">
        <w:rPr>
          <w:rFonts w:ascii="Times New Roman" w:eastAsia="宋体" w:hAnsi="Times New Roman" w:cs="Times New Roman"/>
          <w:szCs w:val="21"/>
        </w:rPr>
        <w:t>冶炼场地生态环境，制定本标准。</w:t>
      </w:r>
    </w:p>
    <w:p w14:paraId="22E639D6" w14:textId="77777777" w:rsidR="008F6058" w:rsidRPr="004013B5" w:rsidRDefault="00664EDD">
      <w:pPr>
        <w:ind w:firstLineChars="100" w:firstLine="210"/>
        <w:rPr>
          <w:rFonts w:ascii="Times New Roman" w:eastAsia="宋体" w:hAnsi="Times New Roman" w:cs="Times New Roman"/>
          <w:szCs w:val="21"/>
        </w:rPr>
      </w:pPr>
      <w:r w:rsidRPr="004013B5">
        <w:rPr>
          <w:rFonts w:ascii="Times New Roman" w:eastAsia="宋体" w:hAnsi="Times New Roman" w:cs="Times New Roman" w:hint="eastAsia"/>
          <w:szCs w:val="21"/>
        </w:rPr>
        <w:t>本</w:t>
      </w:r>
      <w:r w:rsidR="007034F4" w:rsidRPr="004013B5">
        <w:rPr>
          <w:rFonts w:ascii="Times New Roman" w:eastAsia="宋体" w:hAnsi="Times New Roman" w:cs="Times New Roman" w:hint="eastAsia"/>
          <w:szCs w:val="21"/>
        </w:rPr>
        <w:t>文件</w:t>
      </w:r>
      <w:r w:rsidRPr="004013B5">
        <w:rPr>
          <w:rFonts w:ascii="Times New Roman" w:eastAsia="宋体" w:hAnsi="Times New Roman" w:cs="Times New Roman" w:hint="eastAsia"/>
          <w:szCs w:val="21"/>
        </w:rPr>
        <w:t>根据</w:t>
      </w:r>
      <w:r w:rsidRPr="004013B5">
        <w:rPr>
          <w:rFonts w:ascii="Times New Roman" w:eastAsia="宋体" w:hAnsi="Times New Roman" w:cs="Times New Roman"/>
          <w:szCs w:val="21"/>
        </w:rPr>
        <w:t>GB/T 1.1—2020</w:t>
      </w:r>
      <w:r w:rsidRPr="004013B5">
        <w:rPr>
          <w:rFonts w:ascii="Times New Roman" w:eastAsia="宋体" w:hAnsi="Times New Roman" w:cs="Times New Roman"/>
          <w:szCs w:val="21"/>
        </w:rPr>
        <w:t>《标准化工作导则第</w:t>
      </w:r>
      <w:r w:rsidRPr="004013B5">
        <w:rPr>
          <w:rFonts w:ascii="Times New Roman" w:eastAsia="宋体" w:hAnsi="Times New Roman" w:cs="Times New Roman"/>
          <w:szCs w:val="21"/>
        </w:rPr>
        <w:t>1</w:t>
      </w:r>
      <w:r w:rsidRPr="004013B5">
        <w:rPr>
          <w:rFonts w:ascii="Times New Roman" w:eastAsia="宋体" w:hAnsi="Times New Roman" w:cs="Times New Roman"/>
          <w:szCs w:val="21"/>
        </w:rPr>
        <w:t>部分：标准的结构和编写》起草。</w:t>
      </w:r>
    </w:p>
    <w:p w14:paraId="75459CFB" w14:textId="77777777" w:rsidR="008F6058" w:rsidRPr="004013B5" w:rsidRDefault="00664EDD">
      <w:pPr>
        <w:ind w:firstLineChars="100" w:firstLine="210"/>
        <w:rPr>
          <w:rFonts w:ascii="Times New Roman" w:eastAsia="宋体" w:hAnsi="Times New Roman" w:cs="Times New Roman"/>
          <w:szCs w:val="21"/>
        </w:rPr>
      </w:pPr>
      <w:r w:rsidRPr="004013B5">
        <w:rPr>
          <w:rFonts w:ascii="Times New Roman" w:eastAsia="宋体" w:hAnsi="Times New Roman" w:cs="Times New Roman" w:hint="eastAsia"/>
          <w:szCs w:val="21"/>
        </w:rPr>
        <w:t>本</w:t>
      </w:r>
      <w:r w:rsidR="007034F4" w:rsidRPr="004013B5">
        <w:rPr>
          <w:rFonts w:ascii="Times New Roman" w:eastAsia="宋体" w:hAnsi="Times New Roman" w:cs="Times New Roman" w:hint="eastAsia"/>
          <w:szCs w:val="21"/>
        </w:rPr>
        <w:t>文件</w:t>
      </w:r>
      <w:r w:rsidRPr="004013B5">
        <w:rPr>
          <w:rFonts w:ascii="Times New Roman" w:eastAsia="宋体" w:hAnsi="Times New Roman" w:cs="Times New Roman" w:hint="eastAsia"/>
          <w:szCs w:val="21"/>
        </w:rPr>
        <w:t>由湖南省环境治理行业协会提出并归口。</w:t>
      </w:r>
    </w:p>
    <w:p w14:paraId="0AA44C03" w14:textId="77777777" w:rsidR="008F6058" w:rsidRPr="004013B5" w:rsidRDefault="00664EDD">
      <w:pPr>
        <w:ind w:firstLineChars="100" w:firstLine="210"/>
        <w:rPr>
          <w:rFonts w:ascii="Times New Roman" w:eastAsia="宋体" w:hAnsi="Times New Roman" w:cs="Times New Roman"/>
          <w:szCs w:val="21"/>
        </w:rPr>
      </w:pPr>
      <w:r w:rsidRPr="004013B5">
        <w:rPr>
          <w:rFonts w:ascii="Times New Roman" w:eastAsia="宋体" w:hAnsi="Times New Roman" w:cs="Times New Roman" w:hint="eastAsia"/>
          <w:szCs w:val="21"/>
        </w:rPr>
        <w:t>本文件的某些内容可能涉及专利。本文件的发布机构不承担识别这些专利的责任。</w:t>
      </w:r>
    </w:p>
    <w:p w14:paraId="5C04C842" w14:textId="2454918B" w:rsidR="008F6058" w:rsidRPr="004013B5" w:rsidRDefault="00664EDD">
      <w:pPr>
        <w:ind w:firstLineChars="100" w:firstLine="210"/>
        <w:rPr>
          <w:rFonts w:ascii="Times New Roman" w:eastAsia="宋体" w:hAnsi="Times New Roman" w:cs="Times New Roman"/>
          <w:szCs w:val="21"/>
        </w:rPr>
      </w:pPr>
      <w:r w:rsidRPr="004013B5">
        <w:rPr>
          <w:rFonts w:ascii="Times New Roman" w:eastAsia="宋体" w:hAnsi="Times New Roman" w:cs="Times New Roman"/>
          <w:szCs w:val="21"/>
        </w:rPr>
        <w:t>本</w:t>
      </w:r>
      <w:r w:rsidR="007034F4" w:rsidRPr="004013B5">
        <w:rPr>
          <w:rFonts w:ascii="Times New Roman" w:eastAsia="宋体" w:hAnsi="Times New Roman" w:cs="Times New Roman" w:hint="eastAsia"/>
          <w:szCs w:val="21"/>
        </w:rPr>
        <w:t>文件</w:t>
      </w:r>
      <w:r w:rsidRPr="004013B5">
        <w:rPr>
          <w:rFonts w:ascii="Times New Roman" w:eastAsia="宋体" w:hAnsi="Times New Roman" w:cs="Times New Roman"/>
          <w:szCs w:val="21"/>
        </w:rPr>
        <w:t>主要起草单位：</w:t>
      </w:r>
      <w:r w:rsidRPr="004013B5">
        <w:rPr>
          <w:rFonts w:ascii="Times New Roman" w:eastAsia="宋体" w:hAnsi="Times New Roman" w:cs="Times New Roman" w:hint="eastAsia"/>
          <w:szCs w:val="21"/>
        </w:rPr>
        <w:t>中南大学、</w:t>
      </w:r>
      <w:r w:rsidR="00DA127A" w:rsidRPr="004013B5">
        <w:rPr>
          <w:rFonts w:ascii="Times New Roman" w:eastAsia="宋体" w:hAnsi="Times New Roman" w:cs="Times New Roman" w:hint="eastAsia"/>
          <w:szCs w:val="21"/>
        </w:rPr>
        <w:t>河南大学、河南省地质研究院、</w:t>
      </w:r>
      <w:proofErr w:type="gramStart"/>
      <w:r w:rsidR="00DA127A" w:rsidRPr="004013B5">
        <w:rPr>
          <w:rFonts w:ascii="Times New Roman" w:eastAsia="宋体" w:hAnsi="Times New Roman" w:cs="Times New Roman" w:hint="eastAsia"/>
          <w:szCs w:val="21"/>
        </w:rPr>
        <w:t>中冶南方</w:t>
      </w:r>
      <w:proofErr w:type="gramEnd"/>
      <w:r w:rsidR="00DA127A" w:rsidRPr="004013B5">
        <w:rPr>
          <w:rFonts w:ascii="Times New Roman" w:eastAsia="宋体" w:hAnsi="Times New Roman" w:cs="Times New Roman" w:hint="eastAsia"/>
          <w:szCs w:val="21"/>
        </w:rPr>
        <w:t>都市环保工程技术股份有限公司、</w:t>
      </w:r>
      <w:r w:rsidRPr="004013B5">
        <w:rPr>
          <w:rFonts w:ascii="Times New Roman" w:eastAsia="宋体" w:hAnsi="Times New Roman" w:cs="Times New Roman" w:hint="eastAsia"/>
          <w:szCs w:val="21"/>
        </w:rPr>
        <w:t>湖南省和清环境科技有限公司、河南省生态环境技术中心。</w:t>
      </w:r>
    </w:p>
    <w:p w14:paraId="3E837C85" w14:textId="444BEC8C" w:rsidR="008F6058" w:rsidRPr="004013B5" w:rsidRDefault="00664EDD">
      <w:pPr>
        <w:ind w:firstLineChars="100" w:firstLine="210"/>
        <w:rPr>
          <w:rFonts w:ascii="Times New Roman" w:eastAsia="宋体" w:hAnsi="Times New Roman" w:cs="Times New Roman"/>
          <w:szCs w:val="21"/>
        </w:rPr>
      </w:pPr>
      <w:r w:rsidRPr="004013B5">
        <w:rPr>
          <w:rFonts w:ascii="Times New Roman" w:eastAsia="宋体" w:hAnsi="Times New Roman" w:cs="Times New Roman"/>
          <w:szCs w:val="21"/>
        </w:rPr>
        <w:t>本</w:t>
      </w:r>
      <w:r w:rsidR="007034F4" w:rsidRPr="004013B5">
        <w:rPr>
          <w:rFonts w:ascii="Times New Roman" w:eastAsia="宋体" w:hAnsi="Times New Roman" w:cs="Times New Roman" w:hint="eastAsia"/>
          <w:szCs w:val="21"/>
        </w:rPr>
        <w:t>文件</w:t>
      </w:r>
      <w:r w:rsidRPr="004013B5">
        <w:rPr>
          <w:rFonts w:ascii="Times New Roman" w:eastAsia="宋体" w:hAnsi="Times New Roman" w:cs="Times New Roman"/>
          <w:szCs w:val="21"/>
        </w:rPr>
        <w:t>主要起草人：</w:t>
      </w:r>
      <w:r w:rsidRPr="004013B5">
        <w:rPr>
          <w:rFonts w:ascii="Times New Roman" w:eastAsia="宋体" w:hAnsi="Times New Roman" w:cs="Times New Roman" w:hint="eastAsia"/>
          <w:szCs w:val="21"/>
        </w:rPr>
        <w:t>薛生国、</w:t>
      </w:r>
      <w:r w:rsidR="005E73B1" w:rsidRPr="004013B5">
        <w:rPr>
          <w:rFonts w:ascii="Times New Roman" w:eastAsia="宋体" w:hAnsi="Times New Roman" w:cs="Times New Roman" w:hint="eastAsia"/>
          <w:szCs w:val="21"/>
        </w:rPr>
        <w:t>朱锋、</w:t>
      </w:r>
      <w:r w:rsidRPr="004013B5">
        <w:rPr>
          <w:rFonts w:ascii="Times New Roman" w:eastAsia="宋体" w:hAnsi="Times New Roman" w:cs="Times New Roman" w:hint="eastAsia"/>
          <w:szCs w:val="21"/>
        </w:rPr>
        <w:t>曾嘉庆、</w:t>
      </w:r>
      <w:r w:rsidR="005E73B1" w:rsidRPr="004013B5">
        <w:rPr>
          <w:rFonts w:ascii="Times New Roman" w:eastAsia="宋体" w:hAnsi="Times New Roman" w:cs="Times New Roman" w:hint="eastAsia"/>
          <w:szCs w:val="21"/>
        </w:rPr>
        <w:t>李小红、张古彬、赵颖、娄伟、</w:t>
      </w:r>
      <w:r w:rsidRPr="004013B5">
        <w:rPr>
          <w:rFonts w:ascii="Times New Roman" w:eastAsia="宋体" w:hAnsi="Times New Roman" w:cs="Times New Roman" w:hint="eastAsia"/>
          <w:szCs w:val="21"/>
        </w:rPr>
        <w:t>可文舜、何新生、</w:t>
      </w:r>
      <w:r w:rsidR="005E73B1" w:rsidRPr="004013B5">
        <w:rPr>
          <w:rFonts w:ascii="Times New Roman" w:eastAsia="宋体" w:hAnsi="Times New Roman" w:cs="Times New Roman" w:hint="eastAsia"/>
          <w:szCs w:val="21"/>
        </w:rPr>
        <w:t>郭林、</w:t>
      </w:r>
      <w:r w:rsidRPr="004013B5">
        <w:rPr>
          <w:rFonts w:ascii="Times New Roman" w:eastAsia="宋体" w:hAnsi="Times New Roman" w:cs="Times New Roman" w:hint="eastAsia"/>
          <w:szCs w:val="21"/>
        </w:rPr>
        <w:t>施烈焰、江钧、吴川。</w:t>
      </w:r>
    </w:p>
    <w:p w14:paraId="554CCD69" w14:textId="77777777" w:rsidR="008F6058" w:rsidRPr="004013B5" w:rsidRDefault="00664EDD">
      <w:pPr>
        <w:ind w:firstLineChars="100" w:firstLine="210"/>
        <w:rPr>
          <w:rFonts w:ascii="Times New Roman" w:eastAsia="宋体" w:hAnsi="Times New Roman" w:cs="Times New Roman"/>
          <w:szCs w:val="21"/>
        </w:rPr>
      </w:pPr>
      <w:r w:rsidRPr="004013B5">
        <w:rPr>
          <w:rFonts w:ascii="Times New Roman" w:eastAsia="宋体" w:hAnsi="Times New Roman" w:cs="Times New Roman" w:hint="eastAsia"/>
          <w:szCs w:val="21"/>
        </w:rPr>
        <w:t>本</w:t>
      </w:r>
      <w:r w:rsidR="007034F4" w:rsidRPr="004013B5">
        <w:rPr>
          <w:rFonts w:ascii="Times New Roman" w:eastAsia="宋体" w:hAnsi="Times New Roman" w:cs="Times New Roman" w:hint="eastAsia"/>
          <w:szCs w:val="21"/>
        </w:rPr>
        <w:t>文件</w:t>
      </w:r>
      <w:r w:rsidRPr="004013B5">
        <w:rPr>
          <w:rFonts w:ascii="Times New Roman" w:eastAsia="宋体" w:hAnsi="Times New Roman" w:cs="Times New Roman" w:hint="eastAsia"/>
          <w:szCs w:val="21"/>
        </w:rPr>
        <w:t>由湖南省环境治理行业协会负责管理和解释，中南大学</w:t>
      </w:r>
      <w:r w:rsidRPr="004013B5">
        <w:rPr>
          <w:rFonts w:ascii="Times New Roman" w:eastAsia="宋体" w:hAnsi="Times New Roman" w:cs="Times New Roman"/>
          <w:szCs w:val="21"/>
        </w:rPr>
        <w:t>负责具体技术内容的解释。在应用过程中如有需要修改与补充的建议，请将相关资料寄送湖南省环境治理行业协会标准管理部门。</w:t>
      </w:r>
    </w:p>
    <w:p w14:paraId="2489EC59" w14:textId="77777777" w:rsidR="000A3ED5" w:rsidRPr="004013B5" w:rsidRDefault="00664EDD">
      <w:pPr>
        <w:spacing w:line="480" w:lineRule="auto"/>
        <w:ind w:firstLineChars="100" w:firstLine="240"/>
        <w:rPr>
          <w:rFonts w:ascii="Times New Roman" w:eastAsia="宋体" w:hAnsi="Times New Roman" w:cs="Times New Roman"/>
          <w:sz w:val="24"/>
          <w:szCs w:val="24"/>
        </w:rPr>
        <w:sectPr w:rsidR="000A3ED5" w:rsidRPr="004013B5" w:rsidSect="000B276B">
          <w:footerReference w:type="default" r:id="rId10"/>
          <w:pgSz w:w="11906" w:h="16838"/>
          <w:pgMar w:top="567" w:right="1134" w:bottom="1134" w:left="1418" w:header="851" w:footer="992" w:gutter="0"/>
          <w:pgNumType w:fmt="upperRoman" w:start="1"/>
          <w:cols w:space="425"/>
          <w:docGrid w:type="lines" w:linePitch="312"/>
        </w:sectPr>
      </w:pPr>
      <w:r w:rsidRPr="004013B5">
        <w:rPr>
          <w:rFonts w:ascii="Times New Roman" w:eastAsia="宋体" w:hAnsi="Times New Roman" w:cs="Times New Roman"/>
          <w:sz w:val="24"/>
          <w:szCs w:val="24"/>
        </w:rPr>
        <w:br w:type="page"/>
      </w:r>
    </w:p>
    <w:p w14:paraId="54DF6E1F" w14:textId="269FFB2E" w:rsidR="008F6058" w:rsidRPr="004013B5" w:rsidRDefault="006B1AA6" w:rsidP="005546FD">
      <w:pPr>
        <w:spacing w:before="640" w:after="560" w:line="460" w:lineRule="exact"/>
        <w:jc w:val="center"/>
        <w:outlineLvl w:val="0"/>
        <w:rPr>
          <w:rFonts w:eastAsia="黑体"/>
          <w:color w:val="000000"/>
          <w:sz w:val="32"/>
          <w:szCs w:val="32"/>
        </w:rPr>
      </w:pPr>
      <w:bookmarkStart w:id="10" w:name="_Toc142689388"/>
      <w:r>
        <w:rPr>
          <w:rFonts w:eastAsia="黑体" w:hint="eastAsia"/>
          <w:color w:val="000000"/>
          <w:sz w:val="32"/>
          <w:szCs w:val="32"/>
        </w:rPr>
        <w:lastRenderedPageBreak/>
        <w:t>有色金属冶炼场地土壤</w:t>
      </w:r>
      <w:r>
        <w:rPr>
          <w:rFonts w:eastAsia="黑体" w:hint="eastAsia"/>
          <w:color w:val="000000"/>
          <w:sz w:val="32"/>
          <w:szCs w:val="32"/>
        </w:rPr>
        <w:t>-</w:t>
      </w:r>
      <w:r>
        <w:rPr>
          <w:rFonts w:eastAsia="黑体" w:hint="eastAsia"/>
          <w:color w:val="000000"/>
          <w:sz w:val="32"/>
          <w:szCs w:val="32"/>
        </w:rPr>
        <w:t>地下水</w:t>
      </w:r>
      <w:r w:rsidR="00664EDD" w:rsidRPr="004013B5">
        <w:rPr>
          <w:rFonts w:eastAsia="黑体"/>
          <w:color w:val="000000"/>
          <w:sz w:val="32"/>
          <w:szCs w:val="32"/>
        </w:rPr>
        <w:t>重金属污染</w:t>
      </w:r>
      <w:r w:rsidR="00664EDD" w:rsidRPr="004013B5">
        <w:rPr>
          <w:rFonts w:eastAsia="黑体" w:hint="eastAsia"/>
          <w:color w:val="000000"/>
          <w:sz w:val="32"/>
          <w:szCs w:val="32"/>
        </w:rPr>
        <w:t>协同修复技术</w:t>
      </w:r>
      <w:bookmarkEnd w:id="10"/>
      <w:r w:rsidR="00674589" w:rsidRPr="004013B5">
        <w:rPr>
          <w:rFonts w:eastAsia="黑体" w:hint="eastAsia"/>
          <w:color w:val="000000"/>
          <w:sz w:val="32"/>
          <w:szCs w:val="32"/>
        </w:rPr>
        <w:t>指南</w:t>
      </w:r>
    </w:p>
    <w:p w14:paraId="1A906E36" w14:textId="77777777" w:rsidR="008F6058" w:rsidRPr="004013B5" w:rsidRDefault="00664EDD">
      <w:pPr>
        <w:spacing w:beforeLines="100" w:before="312" w:afterLines="100" w:after="312"/>
        <w:outlineLvl w:val="0"/>
        <w:rPr>
          <w:rFonts w:ascii="黑体" w:eastAsia="黑体" w:hAnsi="黑体" w:cs="Times New Roman"/>
          <w:b/>
          <w:bCs/>
          <w:szCs w:val="21"/>
        </w:rPr>
      </w:pPr>
      <w:bookmarkStart w:id="11" w:name="_Toc142689389"/>
      <w:r w:rsidRPr="004013B5">
        <w:rPr>
          <w:rFonts w:ascii="黑体" w:eastAsia="黑体" w:hAnsi="黑体" w:cs="Times New Roman"/>
          <w:b/>
          <w:bCs/>
          <w:szCs w:val="21"/>
        </w:rPr>
        <w:t>1 范围</w:t>
      </w:r>
      <w:bookmarkEnd w:id="11"/>
    </w:p>
    <w:p w14:paraId="31E0C404" w14:textId="11BE0ACE"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本</w:t>
      </w:r>
      <w:r w:rsidR="008D198A" w:rsidRPr="004013B5">
        <w:rPr>
          <w:rFonts w:ascii="Times New Roman" w:eastAsia="宋体" w:hAnsi="Times New Roman" w:cs="Times New Roman" w:hint="eastAsia"/>
          <w:szCs w:val="21"/>
        </w:rPr>
        <w:t>标准</w:t>
      </w:r>
      <w:r w:rsidRPr="004013B5">
        <w:rPr>
          <w:rFonts w:ascii="Times New Roman" w:eastAsia="宋体" w:hAnsi="Times New Roman" w:cs="Times New Roman" w:hint="eastAsia"/>
          <w:szCs w:val="21"/>
        </w:rPr>
        <w:t>适用于</w:t>
      </w:r>
      <w:r w:rsidR="006B1AA6">
        <w:rPr>
          <w:rFonts w:ascii="Times New Roman" w:eastAsia="宋体" w:hAnsi="Times New Roman" w:cs="Times New Roman" w:hint="eastAsia"/>
          <w:szCs w:val="21"/>
        </w:rPr>
        <w:t>有色金属冶炼场地土壤</w:t>
      </w:r>
      <w:r w:rsidR="006B1AA6">
        <w:rPr>
          <w:rFonts w:ascii="Times New Roman" w:eastAsia="宋体" w:hAnsi="Times New Roman" w:cs="Times New Roman" w:hint="eastAsia"/>
          <w:szCs w:val="21"/>
        </w:rPr>
        <w:t>-</w:t>
      </w:r>
      <w:r w:rsidR="006B1AA6">
        <w:rPr>
          <w:rFonts w:ascii="Times New Roman" w:eastAsia="宋体" w:hAnsi="Times New Roman" w:cs="Times New Roman" w:hint="eastAsia"/>
          <w:szCs w:val="21"/>
        </w:rPr>
        <w:t>地下水</w:t>
      </w:r>
      <w:r w:rsidRPr="004013B5">
        <w:rPr>
          <w:rFonts w:ascii="Times New Roman" w:eastAsia="宋体" w:hAnsi="Times New Roman" w:cs="Times New Roman"/>
          <w:szCs w:val="21"/>
        </w:rPr>
        <w:t>协同修复工程的建设与运行管理，可作为工程设计、实施、运行及后期维护的参考依据。</w:t>
      </w:r>
    </w:p>
    <w:p w14:paraId="16CCA25A" w14:textId="77777777" w:rsidR="008F6058" w:rsidRPr="004013B5" w:rsidRDefault="00664EDD">
      <w:pPr>
        <w:spacing w:beforeLines="100" w:before="312" w:afterLines="100" w:after="312"/>
        <w:outlineLvl w:val="0"/>
        <w:rPr>
          <w:rFonts w:ascii="黑体" w:eastAsia="黑体" w:hAnsi="黑体" w:cs="Times New Roman"/>
          <w:b/>
          <w:bCs/>
          <w:szCs w:val="21"/>
        </w:rPr>
      </w:pPr>
      <w:bookmarkStart w:id="12" w:name="_Toc142689390"/>
      <w:r w:rsidRPr="004013B5">
        <w:rPr>
          <w:rFonts w:ascii="黑体" w:eastAsia="黑体" w:hAnsi="黑体" w:cs="Times New Roman"/>
          <w:b/>
          <w:bCs/>
          <w:szCs w:val="21"/>
        </w:rPr>
        <w:t>2 规范性引用文献</w:t>
      </w:r>
      <w:bookmarkEnd w:id="12"/>
    </w:p>
    <w:p w14:paraId="437D0274"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下列文件中的内容通过文中的规范性引用而构成本文件中必不可少的条款。其中，注日期的引用文件，仅该日期对应的版本适用于本文件。不注日期的引用文件，其最新版本（包括所有的修改单）适用于本文件。</w:t>
      </w:r>
    </w:p>
    <w:p w14:paraId="2DD3F8FA"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GB36600</w:t>
      </w:r>
      <w:r w:rsidR="002B26B6" w:rsidRPr="004013B5">
        <w:rPr>
          <w:rFonts w:ascii="Times New Roman" w:eastAsia="宋体" w:hAnsi="Times New Roman" w:cs="Times New Roman"/>
          <w:szCs w:val="21"/>
        </w:rPr>
        <w:tab/>
      </w:r>
      <w:r w:rsidRPr="004013B5">
        <w:rPr>
          <w:rFonts w:ascii="Times New Roman" w:eastAsia="宋体" w:hAnsi="Times New Roman" w:cs="Times New Roman"/>
          <w:szCs w:val="21"/>
        </w:rPr>
        <w:t>土壤环境质量</w:t>
      </w:r>
      <w:r w:rsidRPr="004013B5">
        <w:rPr>
          <w:rFonts w:ascii="Times New Roman" w:eastAsia="宋体" w:hAnsi="Times New Roman" w:cs="Times New Roman"/>
          <w:szCs w:val="21"/>
        </w:rPr>
        <w:t xml:space="preserve"> </w:t>
      </w:r>
      <w:r w:rsidRPr="004013B5">
        <w:rPr>
          <w:rFonts w:ascii="Times New Roman" w:eastAsia="宋体" w:hAnsi="Times New Roman" w:cs="Times New Roman"/>
          <w:szCs w:val="21"/>
        </w:rPr>
        <w:t>建设用地土壤污染风险管控标准</w:t>
      </w:r>
    </w:p>
    <w:p w14:paraId="38036AAF"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 xml:space="preserve">GB 3095 </w:t>
      </w:r>
      <w:r w:rsidRPr="004013B5">
        <w:rPr>
          <w:rFonts w:ascii="Times New Roman" w:eastAsia="宋体" w:hAnsi="Times New Roman" w:cs="Times New Roman"/>
          <w:szCs w:val="21"/>
        </w:rPr>
        <w:t>环境空气质量标准</w:t>
      </w:r>
    </w:p>
    <w:p w14:paraId="76208992"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 xml:space="preserve">GB 3838 </w:t>
      </w:r>
      <w:r w:rsidRPr="004013B5">
        <w:rPr>
          <w:rFonts w:ascii="Times New Roman" w:eastAsia="宋体" w:hAnsi="Times New Roman" w:cs="Times New Roman"/>
          <w:szCs w:val="21"/>
        </w:rPr>
        <w:t>地表水环境质量标准</w:t>
      </w:r>
    </w:p>
    <w:p w14:paraId="594AA99D"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 xml:space="preserve">GB/T 14848 </w:t>
      </w:r>
      <w:r w:rsidRPr="004013B5">
        <w:rPr>
          <w:rFonts w:ascii="Times New Roman" w:eastAsia="宋体" w:hAnsi="Times New Roman" w:cs="Times New Roman"/>
          <w:szCs w:val="21"/>
        </w:rPr>
        <w:t>地下水环境质量标准</w:t>
      </w:r>
    </w:p>
    <w:p w14:paraId="2059C461"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 xml:space="preserve">GB 16297 </w:t>
      </w:r>
      <w:r w:rsidRPr="004013B5">
        <w:rPr>
          <w:rFonts w:ascii="Times New Roman" w:eastAsia="宋体" w:hAnsi="Times New Roman" w:cs="Times New Roman"/>
          <w:szCs w:val="21"/>
        </w:rPr>
        <w:t>大气污染</w:t>
      </w:r>
      <w:proofErr w:type="gramStart"/>
      <w:r w:rsidRPr="004013B5">
        <w:rPr>
          <w:rFonts w:ascii="Times New Roman" w:eastAsia="宋体" w:hAnsi="Times New Roman" w:cs="Times New Roman"/>
          <w:szCs w:val="21"/>
        </w:rPr>
        <w:t>物综合</w:t>
      </w:r>
      <w:proofErr w:type="gramEnd"/>
      <w:r w:rsidRPr="004013B5">
        <w:rPr>
          <w:rFonts w:ascii="Times New Roman" w:eastAsia="宋体" w:hAnsi="Times New Roman" w:cs="Times New Roman"/>
          <w:szCs w:val="21"/>
        </w:rPr>
        <w:t>排放标准</w:t>
      </w:r>
    </w:p>
    <w:p w14:paraId="2ECF76A2"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GB 8978</w:t>
      </w:r>
      <w:r w:rsidRPr="004013B5">
        <w:rPr>
          <w:rFonts w:ascii="Times New Roman" w:eastAsia="宋体" w:hAnsi="Times New Roman" w:cs="Times New Roman"/>
          <w:szCs w:val="21"/>
        </w:rPr>
        <w:t>污水综合排放标准</w:t>
      </w:r>
    </w:p>
    <w:p w14:paraId="680703EF"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 xml:space="preserve">GB 12348 </w:t>
      </w:r>
      <w:r w:rsidRPr="004013B5">
        <w:rPr>
          <w:rFonts w:ascii="Times New Roman" w:eastAsia="宋体" w:hAnsi="Times New Roman" w:cs="Times New Roman"/>
          <w:szCs w:val="21"/>
        </w:rPr>
        <w:t>工业企业厂界环境噪声排放标准</w:t>
      </w:r>
    </w:p>
    <w:p w14:paraId="702ED4EB"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 xml:space="preserve">HJ 25.1 </w:t>
      </w:r>
      <w:r w:rsidRPr="004013B5">
        <w:rPr>
          <w:rFonts w:ascii="Times New Roman" w:eastAsia="宋体" w:hAnsi="Times New Roman" w:cs="Times New Roman"/>
          <w:szCs w:val="21"/>
        </w:rPr>
        <w:t>建设用地土壤污染状况调查技术导则</w:t>
      </w:r>
    </w:p>
    <w:p w14:paraId="4FAB2731"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 xml:space="preserve">HJ 25.2 </w:t>
      </w:r>
      <w:r w:rsidRPr="004013B5">
        <w:rPr>
          <w:rFonts w:ascii="Times New Roman" w:eastAsia="宋体" w:hAnsi="Times New Roman" w:cs="Times New Roman"/>
          <w:szCs w:val="21"/>
        </w:rPr>
        <w:t>建设用地土壤污染风险管控和修复监测技术导则</w:t>
      </w:r>
      <w:r w:rsidRPr="004013B5">
        <w:rPr>
          <w:rFonts w:ascii="Times New Roman" w:eastAsia="宋体" w:hAnsi="Times New Roman" w:cs="Times New Roman"/>
          <w:szCs w:val="21"/>
        </w:rPr>
        <w:t xml:space="preserve"> </w:t>
      </w:r>
    </w:p>
    <w:p w14:paraId="740B6B53"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 xml:space="preserve">HJ 25.3 </w:t>
      </w:r>
      <w:r w:rsidRPr="004013B5">
        <w:rPr>
          <w:rFonts w:ascii="Times New Roman" w:eastAsia="宋体" w:hAnsi="Times New Roman" w:cs="Times New Roman"/>
          <w:szCs w:val="21"/>
        </w:rPr>
        <w:t>建设用地土壤污染风险评估技术导则</w:t>
      </w:r>
    </w:p>
    <w:p w14:paraId="752137E6"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 xml:space="preserve">HJ 25.5 </w:t>
      </w:r>
      <w:r w:rsidRPr="004013B5">
        <w:rPr>
          <w:rFonts w:ascii="Times New Roman" w:eastAsia="宋体" w:hAnsi="Times New Roman" w:cs="Times New Roman"/>
          <w:szCs w:val="21"/>
        </w:rPr>
        <w:t>污染地块风险管控与土壤修复效果评估技术导则</w:t>
      </w:r>
      <w:r w:rsidRPr="004013B5">
        <w:rPr>
          <w:rFonts w:ascii="Times New Roman" w:eastAsia="宋体" w:hAnsi="Times New Roman" w:cs="Times New Roman"/>
          <w:szCs w:val="21"/>
        </w:rPr>
        <w:t xml:space="preserve"> </w:t>
      </w:r>
    </w:p>
    <w:p w14:paraId="166A705D"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HJ 91.2</w:t>
      </w:r>
      <w:r w:rsidRPr="004013B5">
        <w:rPr>
          <w:rFonts w:ascii="Times New Roman" w:eastAsia="宋体" w:hAnsi="Times New Roman" w:cs="Times New Roman"/>
          <w:szCs w:val="21"/>
        </w:rPr>
        <w:t>地表水环境质量监测技术规范</w:t>
      </w:r>
    </w:p>
    <w:p w14:paraId="0C65525D"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HJ 164</w:t>
      </w:r>
      <w:r w:rsidRPr="004013B5">
        <w:rPr>
          <w:rFonts w:ascii="Times New Roman" w:eastAsia="宋体" w:hAnsi="Times New Roman" w:cs="Times New Roman"/>
          <w:szCs w:val="21"/>
        </w:rPr>
        <w:t>地下水环境监测技术规范</w:t>
      </w:r>
    </w:p>
    <w:p w14:paraId="26158491"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 xml:space="preserve">HJ 192 </w:t>
      </w:r>
      <w:r w:rsidRPr="004013B5">
        <w:rPr>
          <w:rFonts w:ascii="Times New Roman" w:eastAsia="宋体" w:hAnsi="Times New Roman" w:cs="Times New Roman"/>
          <w:szCs w:val="21"/>
        </w:rPr>
        <w:t>生态环境状况评价技术规范</w:t>
      </w:r>
    </w:p>
    <w:p w14:paraId="228B6CCB"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 xml:space="preserve">HJ 651 </w:t>
      </w:r>
      <w:r w:rsidRPr="004013B5">
        <w:rPr>
          <w:rFonts w:ascii="Times New Roman" w:eastAsia="宋体" w:hAnsi="Times New Roman" w:cs="Times New Roman"/>
          <w:szCs w:val="21"/>
        </w:rPr>
        <w:t>矿山生态环境保护与恢复治理技术规范（试行）</w:t>
      </w:r>
    </w:p>
    <w:p w14:paraId="59D97179"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 xml:space="preserve">HJ 652 </w:t>
      </w:r>
      <w:r w:rsidRPr="004013B5">
        <w:rPr>
          <w:rFonts w:ascii="Times New Roman" w:eastAsia="宋体" w:hAnsi="Times New Roman" w:cs="Times New Roman"/>
          <w:szCs w:val="21"/>
        </w:rPr>
        <w:t>矿山生态环境保护与恢复治理方案（规划）编制规范（试行）</w:t>
      </w:r>
    </w:p>
    <w:p w14:paraId="05E324F9"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HJ 1282</w:t>
      </w:r>
      <w:r w:rsidRPr="004013B5">
        <w:rPr>
          <w:rFonts w:ascii="Times New Roman" w:eastAsia="宋体" w:hAnsi="Times New Roman" w:cs="Times New Roman"/>
          <w:szCs w:val="21"/>
        </w:rPr>
        <w:t>污染土壤修复工程技术规范</w:t>
      </w:r>
      <w:r w:rsidRPr="004013B5">
        <w:rPr>
          <w:rFonts w:ascii="Times New Roman" w:eastAsia="宋体" w:hAnsi="Times New Roman" w:cs="Times New Roman"/>
          <w:szCs w:val="21"/>
        </w:rPr>
        <w:t xml:space="preserve"> </w:t>
      </w:r>
      <w:r w:rsidRPr="004013B5">
        <w:rPr>
          <w:rFonts w:ascii="Times New Roman" w:eastAsia="宋体" w:hAnsi="Times New Roman" w:cs="Times New Roman"/>
          <w:szCs w:val="21"/>
        </w:rPr>
        <w:t>固化</w:t>
      </w:r>
      <w:r w:rsidRPr="004013B5">
        <w:rPr>
          <w:rFonts w:ascii="Times New Roman" w:eastAsia="宋体" w:hAnsi="Times New Roman" w:cs="Times New Roman"/>
          <w:szCs w:val="21"/>
        </w:rPr>
        <w:t>/</w:t>
      </w:r>
      <w:r w:rsidRPr="004013B5">
        <w:rPr>
          <w:rFonts w:ascii="Times New Roman" w:eastAsia="宋体" w:hAnsi="Times New Roman" w:cs="Times New Roman"/>
          <w:szCs w:val="21"/>
        </w:rPr>
        <w:t>稳定化</w:t>
      </w:r>
    </w:p>
    <w:p w14:paraId="760E1B27"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 xml:space="preserve">JGJ 311 </w:t>
      </w:r>
      <w:r w:rsidRPr="004013B5">
        <w:rPr>
          <w:rFonts w:ascii="Times New Roman" w:eastAsia="宋体" w:hAnsi="Times New Roman" w:cs="Times New Roman" w:hint="eastAsia"/>
          <w:szCs w:val="21"/>
        </w:rPr>
        <w:t>建筑深基坑工程施工安全技术规范</w:t>
      </w:r>
    </w:p>
    <w:p w14:paraId="163497F0" w14:textId="77777777" w:rsidR="008F6058" w:rsidRPr="004013B5" w:rsidRDefault="007034F4">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 xml:space="preserve">GB39496-2020 </w:t>
      </w:r>
      <w:r w:rsidRPr="004013B5">
        <w:rPr>
          <w:rFonts w:ascii="Times New Roman" w:eastAsia="宋体" w:hAnsi="Times New Roman" w:cs="Times New Roman" w:hint="eastAsia"/>
          <w:szCs w:val="21"/>
        </w:rPr>
        <w:t>尾矿库安全规程</w:t>
      </w:r>
      <w:r w:rsidRPr="004013B5">
        <w:rPr>
          <w:rFonts w:ascii="Times New Roman" w:eastAsia="宋体" w:hAnsi="Times New Roman" w:cs="Times New Roman"/>
          <w:szCs w:val="21"/>
        </w:rPr>
        <w:t xml:space="preserve"> </w:t>
      </w:r>
    </w:p>
    <w:p w14:paraId="7AB593E5" w14:textId="77777777" w:rsidR="008F6058" w:rsidRPr="004013B5" w:rsidRDefault="007034F4">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 xml:space="preserve">TD/T1036 </w:t>
      </w:r>
      <w:r w:rsidRPr="004013B5">
        <w:rPr>
          <w:rFonts w:ascii="Times New Roman" w:eastAsia="宋体" w:hAnsi="Times New Roman" w:cs="Times New Roman" w:hint="eastAsia"/>
          <w:szCs w:val="21"/>
        </w:rPr>
        <w:t>土地复垦质量控制标准</w:t>
      </w:r>
    </w:p>
    <w:p w14:paraId="22F7C3DC"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 xml:space="preserve">GB/T 14848 </w:t>
      </w:r>
      <w:r w:rsidRPr="004013B5">
        <w:rPr>
          <w:rFonts w:ascii="Times New Roman" w:eastAsia="宋体" w:hAnsi="Times New Roman" w:cs="Times New Roman"/>
          <w:szCs w:val="21"/>
        </w:rPr>
        <w:t>地下水质量标准</w:t>
      </w:r>
    </w:p>
    <w:p w14:paraId="16219894"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H</w:t>
      </w:r>
      <w:r w:rsidRPr="004013B5">
        <w:rPr>
          <w:rFonts w:ascii="Times New Roman" w:eastAsia="宋体" w:hAnsi="Times New Roman" w:cs="Times New Roman"/>
          <w:szCs w:val="21"/>
        </w:rPr>
        <w:t xml:space="preserve">J877 </w:t>
      </w:r>
      <w:r w:rsidRPr="004013B5">
        <w:rPr>
          <w:rFonts w:ascii="Times New Roman" w:eastAsia="宋体" w:hAnsi="Times New Roman" w:cs="Times New Roman" w:hint="eastAsia"/>
          <w:szCs w:val="21"/>
        </w:rPr>
        <w:t>暴露参数调查技术规范</w:t>
      </w:r>
    </w:p>
    <w:p w14:paraId="21E72E73"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H</w:t>
      </w:r>
      <w:r w:rsidRPr="004013B5">
        <w:rPr>
          <w:rFonts w:ascii="Times New Roman" w:eastAsia="宋体" w:hAnsi="Times New Roman" w:cs="Times New Roman"/>
          <w:szCs w:val="21"/>
        </w:rPr>
        <w:t xml:space="preserve">J164 </w:t>
      </w:r>
      <w:r w:rsidRPr="004013B5">
        <w:rPr>
          <w:rFonts w:ascii="Times New Roman" w:eastAsia="宋体" w:hAnsi="Times New Roman" w:cs="Times New Roman" w:hint="eastAsia"/>
          <w:szCs w:val="21"/>
        </w:rPr>
        <w:t>地下水环境监测技术规范</w:t>
      </w:r>
    </w:p>
    <w:p w14:paraId="3CEDAC99"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H</w:t>
      </w:r>
      <w:r w:rsidRPr="004013B5">
        <w:rPr>
          <w:rFonts w:ascii="Times New Roman" w:eastAsia="宋体" w:hAnsi="Times New Roman" w:cs="Times New Roman"/>
          <w:szCs w:val="21"/>
        </w:rPr>
        <w:t xml:space="preserve">J606 </w:t>
      </w:r>
      <w:r w:rsidRPr="004013B5">
        <w:rPr>
          <w:rFonts w:ascii="Times New Roman" w:eastAsia="宋体" w:hAnsi="Times New Roman" w:cs="Times New Roman" w:hint="eastAsia"/>
          <w:szCs w:val="21"/>
        </w:rPr>
        <w:t>工业污染源现场检查技术规范</w:t>
      </w:r>
    </w:p>
    <w:p w14:paraId="0503339D"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 xml:space="preserve">GB/T 39792.1 </w:t>
      </w:r>
      <w:r w:rsidRPr="004013B5">
        <w:rPr>
          <w:rFonts w:ascii="Times New Roman" w:eastAsia="宋体" w:hAnsi="Times New Roman" w:cs="Times New Roman" w:hint="eastAsia"/>
          <w:szCs w:val="21"/>
        </w:rPr>
        <w:t>生态环境损害鉴定评估技术指南</w:t>
      </w:r>
      <w:r w:rsidRPr="004013B5">
        <w:rPr>
          <w:rFonts w:ascii="Times New Roman" w:eastAsia="宋体" w:hAnsi="Times New Roman" w:cs="Times New Roman"/>
          <w:szCs w:val="21"/>
        </w:rPr>
        <w:t xml:space="preserve"> </w:t>
      </w:r>
      <w:r w:rsidRPr="004013B5">
        <w:rPr>
          <w:rFonts w:ascii="Times New Roman" w:eastAsia="宋体" w:hAnsi="Times New Roman" w:cs="Times New Roman"/>
          <w:szCs w:val="21"/>
        </w:rPr>
        <w:t>环境要素</w:t>
      </w:r>
      <w:r w:rsidRPr="004013B5">
        <w:rPr>
          <w:rFonts w:ascii="Times New Roman" w:eastAsia="宋体" w:hAnsi="Times New Roman" w:cs="Times New Roman"/>
          <w:szCs w:val="21"/>
        </w:rPr>
        <w:t xml:space="preserve"> </w:t>
      </w:r>
      <w:r w:rsidRPr="004013B5">
        <w:rPr>
          <w:rFonts w:ascii="Times New Roman" w:eastAsia="宋体" w:hAnsi="Times New Roman" w:cs="Times New Roman"/>
          <w:szCs w:val="21"/>
        </w:rPr>
        <w:t>第</w:t>
      </w:r>
      <w:r w:rsidRPr="004013B5">
        <w:rPr>
          <w:rFonts w:ascii="Times New Roman" w:eastAsia="宋体" w:hAnsi="Times New Roman" w:cs="Times New Roman"/>
          <w:szCs w:val="21"/>
        </w:rPr>
        <w:t>1</w:t>
      </w:r>
      <w:r w:rsidRPr="004013B5">
        <w:rPr>
          <w:rFonts w:ascii="Times New Roman" w:eastAsia="宋体" w:hAnsi="Times New Roman" w:cs="Times New Roman"/>
          <w:szCs w:val="21"/>
        </w:rPr>
        <w:t>部分：土壤和地下水</w:t>
      </w:r>
    </w:p>
    <w:p w14:paraId="66DFD331"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GB/T 39793.2</w:t>
      </w:r>
      <w:r w:rsidRPr="004013B5">
        <w:rPr>
          <w:rFonts w:ascii="Times New Roman" w:eastAsia="宋体" w:hAnsi="Times New Roman" w:cs="Times New Roman" w:hint="eastAsia"/>
          <w:szCs w:val="21"/>
        </w:rPr>
        <w:t>生态环境损害鉴定评估技术指南</w:t>
      </w:r>
      <w:r w:rsidRPr="004013B5">
        <w:rPr>
          <w:rFonts w:ascii="Times New Roman" w:eastAsia="宋体" w:hAnsi="Times New Roman" w:cs="Times New Roman"/>
          <w:szCs w:val="21"/>
        </w:rPr>
        <w:t xml:space="preserve"> </w:t>
      </w:r>
      <w:r w:rsidRPr="004013B5">
        <w:rPr>
          <w:rFonts w:ascii="Times New Roman" w:eastAsia="宋体" w:hAnsi="Times New Roman" w:cs="Times New Roman"/>
          <w:szCs w:val="21"/>
        </w:rPr>
        <w:t>基础方法</w:t>
      </w:r>
      <w:r w:rsidRPr="004013B5">
        <w:rPr>
          <w:rFonts w:ascii="Times New Roman" w:eastAsia="宋体" w:hAnsi="Times New Roman" w:cs="Times New Roman" w:hint="eastAsia"/>
          <w:szCs w:val="21"/>
        </w:rPr>
        <w:t xml:space="preserve"> </w:t>
      </w:r>
      <w:r w:rsidRPr="004013B5">
        <w:rPr>
          <w:rFonts w:ascii="Times New Roman" w:eastAsia="宋体" w:hAnsi="Times New Roman" w:cs="Times New Roman" w:hint="eastAsia"/>
          <w:szCs w:val="21"/>
        </w:rPr>
        <w:t>第</w:t>
      </w:r>
      <w:r w:rsidRPr="004013B5">
        <w:rPr>
          <w:rFonts w:ascii="Times New Roman" w:eastAsia="宋体" w:hAnsi="Times New Roman" w:cs="Times New Roman"/>
          <w:szCs w:val="21"/>
        </w:rPr>
        <w:t>2</w:t>
      </w:r>
      <w:r w:rsidRPr="004013B5">
        <w:rPr>
          <w:rFonts w:ascii="Times New Roman" w:eastAsia="宋体" w:hAnsi="Times New Roman" w:cs="Times New Roman"/>
          <w:szCs w:val="21"/>
        </w:rPr>
        <w:t>部分：水污染虚拟治理成本法</w:t>
      </w:r>
    </w:p>
    <w:p w14:paraId="33B5F1BE"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H</w:t>
      </w:r>
      <w:r w:rsidRPr="004013B5">
        <w:rPr>
          <w:rFonts w:ascii="Times New Roman" w:eastAsia="宋体" w:hAnsi="Times New Roman" w:cs="Times New Roman"/>
          <w:szCs w:val="21"/>
        </w:rPr>
        <w:t xml:space="preserve">J1272 </w:t>
      </w:r>
      <w:r w:rsidRPr="004013B5">
        <w:rPr>
          <w:rFonts w:ascii="Times New Roman" w:eastAsia="宋体" w:hAnsi="Times New Roman" w:cs="Times New Roman" w:hint="eastAsia"/>
          <w:szCs w:val="21"/>
        </w:rPr>
        <w:t>生态保护修复成效评估技术指南</w:t>
      </w:r>
    </w:p>
    <w:p w14:paraId="6607D1EC"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 xml:space="preserve">HJ2300 </w:t>
      </w:r>
      <w:r w:rsidRPr="004013B5">
        <w:rPr>
          <w:rFonts w:ascii="Times New Roman" w:eastAsia="宋体" w:hAnsi="Times New Roman" w:cs="Times New Roman" w:hint="eastAsia"/>
          <w:szCs w:val="21"/>
        </w:rPr>
        <w:t>污染防治可行技术指南编制导则</w:t>
      </w:r>
    </w:p>
    <w:p w14:paraId="550D4B03"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HJ-BAT-7</w:t>
      </w:r>
      <w:r w:rsidRPr="004013B5">
        <w:rPr>
          <w:rFonts w:ascii="Times New Roman" w:eastAsia="宋体" w:hAnsi="Times New Roman" w:cs="Times New Roman" w:hint="eastAsia"/>
          <w:szCs w:val="21"/>
        </w:rPr>
        <w:t>铅冶炼污染防治最佳可行技术指南</w:t>
      </w:r>
    </w:p>
    <w:p w14:paraId="7A038ABA"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 xml:space="preserve">HJ983 </w:t>
      </w:r>
      <w:r w:rsidRPr="004013B5">
        <w:rPr>
          <w:rFonts w:ascii="Times New Roman" w:eastAsia="宋体" w:hAnsi="Times New Roman" w:cs="Times New Roman" w:hint="eastAsia"/>
          <w:szCs w:val="21"/>
        </w:rPr>
        <w:t>污染源源强核算技术指南</w:t>
      </w:r>
      <w:r w:rsidRPr="004013B5">
        <w:rPr>
          <w:rFonts w:ascii="Times New Roman" w:eastAsia="宋体" w:hAnsi="Times New Roman" w:cs="Times New Roman"/>
          <w:szCs w:val="21"/>
        </w:rPr>
        <w:t xml:space="preserve"> </w:t>
      </w:r>
      <w:r w:rsidRPr="004013B5">
        <w:rPr>
          <w:rFonts w:ascii="Times New Roman" w:eastAsia="宋体" w:hAnsi="Times New Roman" w:cs="Times New Roman"/>
          <w:szCs w:val="21"/>
        </w:rPr>
        <w:t>有色金属冶炼</w:t>
      </w:r>
    </w:p>
    <w:p w14:paraId="74EDFD33" w14:textId="77777777" w:rsidR="008F6058" w:rsidRPr="004013B5" w:rsidRDefault="008F6058">
      <w:pPr>
        <w:ind w:firstLineChars="200" w:firstLine="420"/>
        <w:rPr>
          <w:rFonts w:ascii="Times New Roman" w:eastAsia="宋体" w:hAnsi="Times New Roman" w:cs="Times New Roman"/>
          <w:szCs w:val="21"/>
        </w:rPr>
      </w:pPr>
    </w:p>
    <w:p w14:paraId="691782A3" w14:textId="77777777" w:rsidR="008F6058" w:rsidRPr="004013B5" w:rsidRDefault="00664EDD">
      <w:pPr>
        <w:spacing w:beforeLines="100" w:before="312" w:afterLines="100" w:after="312"/>
        <w:outlineLvl w:val="0"/>
        <w:rPr>
          <w:rFonts w:ascii="黑体" w:eastAsia="黑体" w:hAnsi="黑体" w:cs="Times New Roman"/>
          <w:b/>
          <w:bCs/>
          <w:szCs w:val="21"/>
        </w:rPr>
      </w:pPr>
      <w:bookmarkStart w:id="13" w:name="_Toc142689391"/>
      <w:r w:rsidRPr="004013B5">
        <w:rPr>
          <w:rFonts w:ascii="黑体" w:eastAsia="黑体" w:hAnsi="黑体" w:cs="Times New Roman"/>
          <w:b/>
          <w:bCs/>
          <w:szCs w:val="21"/>
        </w:rPr>
        <w:lastRenderedPageBreak/>
        <w:t>3 术语和定义</w:t>
      </w:r>
      <w:bookmarkEnd w:id="13"/>
    </w:p>
    <w:p w14:paraId="45FBA3D2" w14:textId="789D6D2F"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下列术语和定义适用于本标准。</w:t>
      </w:r>
      <w:r w:rsidR="00FB06DB" w:rsidRPr="004013B5">
        <w:rPr>
          <w:rFonts w:ascii="Times New Roman" w:eastAsia="宋体" w:hAnsi="Times New Roman" w:cs="Times New Roman" w:hint="eastAsia"/>
          <w:szCs w:val="21"/>
        </w:rPr>
        <w:t>（场地）</w:t>
      </w:r>
    </w:p>
    <w:p w14:paraId="61C88BC0" w14:textId="77777777" w:rsidR="00177B22" w:rsidRPr="004013B5" w:rsidRDefault="00664EDD" w:rsidP="00177B22">
      <w:pPr>
        <w:spacing w:beforeLines="50" w:before="156" w:afterLines="50" w:after="156"/>
        <w:rPr>
          <w:rFonts w:ascii="黑体" w:eastAsia="黑体" w:hAnsi="黑体" w:cs="Times New Roman"/>
          <w:szCs w:val="21"/>
        </w:rPr>
      </w:pPr>
      <w:r w:rsidRPr="004013B5">
        <w:rPr>
          <w:rFonts w:ascii="黑体" w:eastAsia="黑体" w:hAnsi="黑体" w:cs="Times New Roman" w:hint="eastAsia"/>
          <w:szCs w:val="21"/>
        </w:rPr>
        <w:t>3</w:t>
      </w:r>
      <w:r w:rsidRPr="004013B5">
        <w:rPr>
          <w:rFonts w:ascii="黑体" w:eastAsia="黑体" w:hAnsi="黑体" w:cs="Times New Roman"/>
          <w:szCs w:val="21"/>
        </w:rPr>
        <w:t>.1</w:t>
      </w:r>
    </w:p>
    <w:p w14:paraId="65A62422" w14:textId="77777777" w:rsidR="008F6058" w:rsidRPr="004013B5" w:rsidRDefault="00664EDD" w:rsidP="00177B22">
      <w:pPr>
        <w:spacing w:beforeLines="50" w:before="156" w:afterLines="50" w:after="156"/>
        <w:ind w:firstLineChars="200" w:firstLine="420"/>
        <w:rPr>
          <w:rFonts w:ascii="Times New Roman" w:eastAsia="宋体" w:hAnsi="Times New Roman" w:cs="Times New Roman"/>
          <w:szCs w:val="21"/>
        </w:rPr>
      </w:pPr>
      <w:r w:rsidRPr="004013B5">
        <w:rPr>
          <w:rFonts w:ascii="黑体" w:eastAsia="黑体" w:hAnsi="黑体" w:cs="Times New Roman" w:hint="eastAsia"/>
          <w:szCs w:val="21"/>
        </w:rPr>
        <w:t>土壤</w:t>
      </w:r>
      <w:r w:rsidRPr="004013B5">
        <w:rPr>
          <w:rFonts w:ascii="Times New Roman" w:eastAsia="宋体" w:hAnsi="Times New Roman" w:cs="Times New Roman"/>
          <w:szCs w:val="21"/>
        </w:rPr>
        <w:t>soil</w:t>
      </w:r>
    </w:p>
    <w:p w14:paraId="31C50EF5"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指由矿物质、有机质、水、空气及生物有机体组成的地球陆地表面上能生长植物的疏松层。</w:t>
      </w:r>
    </w:p>
    <w:p w14:paraId="6FDBA857" w14:textId="77777777" w:rsidR="00177B22" w:rsidRPr="004013B5" w:rsidRDefault="00664EDD" w:rsidP="00177B22">
      <w:pPr>
        <w:spacing w:beforeLines="50" w:before="156" w:afterLines="50" w:after="156"/>
        <w:rPr>
          <w:rFonts w:ascii="黑体" w:eastAsia="黑体" w:hAnsi="黑体" w:cs="Times New Roman"/>
          <w:szCs w:val="21"/>
        </w:rPr>
      </w:pPr>
      <w:r w:rsidRPr="004013B5">
        <w:rPr>
          <w:rFonts w:ascii="黑体" w:eastAsia="黑体" w:hAnsi="黑体" w:cs="Times New Roman" w:hint="eastAsia"/>
          <w:szCs w:val="21"/>
        </w:rPr>
        <w:t>3</w:t>
      </w:r>
      <w:r w:rsidRPr="004013B5">
        <w:rPr>
          <w:rFonts w:ascii="黑体" w:eastAsia="黑体" w:hAnsi="黑体" w:cs="Times New Roman"/>
          <w:szCs w:val="21"/>
        </w:rPr>
        <w:t>.</w:t>
      </w:r>
      <w:r w:rsidR="007034F4" w:rsidRPr="004013B5">
        <w:rPr>
          <w:rFonts w:ascii="黑体" w:eastAsia="黑体" w:hAnsi="黑体" w:cs="Times New Roman"/>
          <w:szCs w:val="21"/>
        </w:rPr>
        <w:t>2</w:t>
      </w:r>
    </w:p>
    <w:p w14:paraId="58D5FB8E" w14:textId="77777777" w:rsidR="008F6058" w:rsidRPr="004013B5" w:rsidRDefault="00664EDD" w:rsidP="00177B22">
      <w:pPr>
        <w:spacing w:beforeLines="50" w:before="156" w:afterLines="50" w:after="156"/>
        <w:ind w:firstLineChars="200" w:firstLine="420"/>
        <w:rPr>
          <w:rFonts w:ascii="Times New Roman" w:eastAsia="宋体" w:hAnsi="Times New Roman" w:cs="Times New Roman"/>
          <w:szCs w:val="21"/>
        </w:rPr>
      </w:pPr>
      <w:r w:rsidRPr="004013B5">
        <w:rPr>
          <w:rFonts w:ascii="黑体" w:eastAsia="黑体" w:hAnsi="黑体" w:cs="Times New Roman" w:hint="eastAsia"/>
          <w:szCs w:val="21"/>
        </w:rPr>
        <w:t>地下水</w:t>
      </w:r>
      <w:r w:rsidRPr="004013B5">
        <w:rPr>
          <w:rFonts w:ascii="Times New Roman" w:eastAsia="宋体" w:hAnsi="Times New Roman" w:cs="Times New Roman"/>
          <w:szCs w:val="21"/>
        </w:rPr>
        <w:t>groundwater</w:t>
      </w:r>
    </w:p>
    <w:p w14:paraId="24204A6F"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埋藏于地表以下的各种形式的重力水。</w:t>
      </w:r>
    </w:p>
    <w:p w14:paraId="05D4419F" w14:textId="77777777" w:rsidR="00177B22" w:rsidRPr="004013B5" w:rsidRDefault="00664EDD" w:rsidP="00177B22">
      <w:pPr>
        <w:spacing w:beforeLines="50" w:before="156" w:afterLines="50" w:after="156"/>
        <w:rPr>
          <w:rFonts w:ascii="黑体" w:eastAsia="黑体" w:hAnsi="黑体" w:cs="Times New Roman"/>
          <w:szCs w:val="21"/>
        </w:rPr>
      </w:pPr>
      <w:r w:rsidRPr="004013B5">
        <w:rPr>
          <w:rFonts w:ascii="黑体" w:eastAsia="黑体" w:hAnsi="黑体" w:cs="Times New Roman" w:hint="eastAsia"/>
          <w:szCs w:val="21"/>
        </w:rPr>
        <w:t>3</w:t>
      </w:r>
      <w:r w:rsidRPr="004013B5">
        <w:rPr>
          <w:rFonts w:ascii="黑体" w:eastAsia="黑体" w:hAnsi="黑体" w:cs="Times New Roman"/>
          <w:szCs w:val="21"/>
        </w:rPr>
        <w:t>.3</w:t>
      </w:r>
    </w:p>
    <w:p w14:paraId="3AE61434" w14:textId="77777777" w:rsidR="008F6058" w:rsidRPr="004013B5" w:rsidRDefault="00664EDD" w:rsidP="00177B22">
      <w:pPr>
        <w:spacing w:beforeLines="50" w:before="156" w:afterLines="50" w:after="156"/>
        <w:ind w:firstLineChars="200" w:firstLine="420"/>
        <w:rPr>
          <w:rFonts w:ascii="Times New Roman" w:eastAsia="宋体" w:hAnsi="Times New Roman" w:cs="Times New Roman"/>
          <w:szCs w:val="21"/>
        </w:rPr>
      </w:pPr>
      <w:r w:rsidRPr="004013B5">
        <w:rPr>
          <w:rFonts w:ascii="黑体" w:eastAsia="黑体" w:hAnsi="黑体" w:cs="Times New Roman" w:hint="eastAsia"/>
          <w:szCs w:val="21"/>
        </w:rPr>
        <w:t>有色冶炼场地</w:t>
      </w:r>
      <w:r w:rsidRPr="004013B5">
        <w:rPr>
          <w:rFonts w:ascii="Times New Roman" w:eastAsia="宋体" w:hAnsi="Times New Roman" w:cs="Times New Roman"/>
          <w:szCs w:val="21"/>
        </w:rPr>
        <w:t>non-ferrous smelting sites</w:t>
      </w:r>
    </w:p>
    <w:p w14:paraId="27A1E582"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地块具有有色金属冶炼生产和加工历史。关停或搬迁后，因堆积、储存、处理、处置或其他方式（如迁移）承载了有害物质的，对人体健康和环境产生危害或具有潜在风险的空间区域，包括土壤和地下水。</w:t>
      </w:r>
    </w:p>
    <w:p w14:paraId="08EE852C" w14:textId="77777777" w:rsidR="00177B22" w:rsidRPr="004013B5" w:rsidRDefault="00664EDD" w:rsidP="00177B22">
      <w:pPr>
        <w:spacing w:beforeLines="50" w:before="156" w:afterLines="50" w:after="156"/>
        <w:rPr>
          <w:rFonts w:ascii="黑体" w:eastAsia="黑体" w:hAnsi="黑体" w:cs="Times New Roman"/>
          <w:szCs w:val="21"/>
        </w:rPr>
      </w:pPr>
      <w:r w:rsidRPr="004013B5">
        <w:rPr>
          <w:rFonts w:ascii="黑体" w:eastAsia="黑体" w:hAnsi="黑体" w:cs="Times New Roman" w:hint="eastAsia"/>
          <w:szCs w:val="21"/>
        </w:rPr>
        <w:t>3</w:t>
      </w:r>
      <w:r w:rsidRPr="004013B5">
        <w:rPr>
          <w:rFonts w:ascii="黑体" w:eastAsia="黑体" w:hAnsi="黑体" w:cs="Times New Roman"/>
          <w:szCs w:val="21"/>
        </w:rPr>
        <w:t>.4</w:t>
      </w:r>
    </w:p>
    <w:p w14:paraId="41778D66" w14:textId="77777777" w:rsidR="008F6058" w:rsidRPr="004013B5" w:rsidRDefault="00664EDD" w:rsidP="00177B22">
      <w:pPr>
        <w:spacing w:beforeLines="50" w:before="156" w:afterLines="50" w:after="156"/>
        <w:ind w:firstLineChars="200" w:firstLine="420"/>
        <w:rPr>
          <w:rFonts w:ascii="Times New Roman" w:eastAsia="宋体" w:hAnsi="Times New Roman" w:cs="Times New Roman"/>
          <w:szCs w:val="21"/>
        </w:rPr>
      </w:pPr>
      <w:r w:rsidRPr="004013B5">
        <w:rPr>
          <w:rFonts w:ascii="黑体" w:eastAsia="黑体" w:hAnsi="黑体" w:cs="Times New Roman" w:hint="eastAsia"/>
          <w:szCs w:val="21"/>
        </w:rPr>
        <w:t>重金属</w:t>
      </w:r>
      <w:r w:rsidRPr="004013B5">
        <w:rPr>
          <w:rFonts w:ascii="Times New Roman" w:eastAsia="宋体" w:hAnsi="Times New Roman" w:cs="Times New Roman"/>
          <w:szCs w:val="21"/>
        </w:rPr>
        <w:t>heavy metals</w:t>
      </w:r>
    </w:p>
    <w:p w14:paraId="22786689"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比重大于</w:t>
      </w:r>
      <w:r w:rsidRPr="004013B5">
        <w:rPr>
          <w:rFonts w:ascii="Times New Roman" w:eastAsia="宋体" w:hAnsi="Times New Roman" w:cs="Times New Roman"/>
          <w:szCs w:val="21"/>
        </w:rPr>
        <w:t>5</w:t>
      </w:r>
      <w:r w:rsidRPr="004013B5">
        <w:rPr>
          <w:rFonts w:ascii="Times New Roman" w:eastAsia="宋体" w:hAnsi="Times New Roman" w:cs="Times New Roman"/>
          <w:szCs w:val="21"/>
        </w:rPr>
        <w:t>的金属（一般指密度大于</w:t>
      </w:r>
      <w:r w:rsidRPr="004013B5">
        <w:rPr>
          <w:rFonts w:ascii="Times New Roman" w:eastAsia="宋体" w:hAnsi="Times New Roman" w:cs="Times New Roman"/>
          <w:szCs w:val="21"/>
        </w:rPr>
        <w:t>4.5g/cm</w:t>
      </w:r>
      <w:r w:rsidRPr="004013B5">
        <w:rPr>
          <w:rFonts w:ascii="Times New Roman" w:eastAsia="宋体" w:hAnsi="Times New Roman" w:cs="Times New Roman"/>
          <w:szCs w:val="21"/>
          <w:vertAlign w:val="superscript"/>
        </w:rPr>
        <w:t>3</w:t>
      </w:r>
      <w:r w:rsidRPr="004013B5">
        <w:rPr>
          <w:rFonts w:ascii="Times New Roman" w:eastAsia="宋体" w:hAnsi="Times New Roman" w:cs="Times New Roman"/>
          <w:szCs w:val="21"/>
        </w:rPr>
        <w:t>的金属），也是指原子量大于</w:t>
      </w:r>
      <w:r w:rsidRPr="004013B5">
        <w:rPr>
          <w:rFonts w:ascii="Times New Roman" w:eastAsia="宋体" w:hAnsi="Times New Roman" w:cs="Times New Roman"/>
          <w:szCs w:val="21"/>
        </w:rPr>
        <w:t>55</w:t>
      </w:r>
      <w:r w:rsidRPr="004013B5">
        <w:rPr>
          <w:rFonts w:ascii="Times New Roman" w:eastAsia="宋体" w:hAnsi="Times New Roman" w:cs="Times New Roman"/>
          <w:szCs w:val="21"/>
        </w:rPr>
        <w:t>的金属，在环境污染方面主要是指汞、镉、铅、铬及类金属砷等生物毒性显著的重元素。</w:t>
      </w:r>
    </w:p>
    <w:p w14:paraId="00025F81" w14:textId="77777777" w:rsidR="00177B22" w:rsidRPr="004013B5" w:rsidRDefault="00664EDD" w:rsidP="00177B22">
      <w:pPr>
        <w:spacing w:beforeLines="50" w:before="156" w:afterLines="50" w:after="156"/>
        <w:rPr>
          <w:rFonts w:ascii="黑体" w:eastAsia="黑体" w:hAnsi="黑体" w:cs="Times New Roman"/>
          <w:szCs w:val="21"/>
        </w:rPr>
      </w:pPr>
      <w:r w:rsidRPr="004013B5">
        <w:rPr>
          <w:rFonts w:ascii="黑体" w:eastAsia="黑体" w:hAnsi="黑体" w:cs="Times New Roman" w:hint="eastAsia"/>
          <w:szCs w:val="21"/>
        </w:rPr>
        <w:t>3</w:t>
      </w:r>
      <w:r w:rsidRPr="004013B5">
        <w:rPr>
          <w:rFonts w:ascii="黑体" w:eastAsia="黑体" w:hAnsi="黑体" w:cs="Times New Roman"/>
          <w:szCs w:val="21"/>
        </w:rPr>
        <w:t>.5</w:t>
      </w:r>
    </w:p>
    <w:p w14:paraId="76168125" w14:textId="77777777" w:rsidR="008F6058" w:rsidRPr="004013B5" w:rsidRDefault="00664EDD" w:rsidP="00177B22">
      <w:pPr>
        <w:spacing w:beforeLines="50" w:before="156" w:afterLines="50" w:after="156"/>
        <w:ind w:firstLineChars="200" w:firstLine="420"/>
        <w:rPr>
          <w:rFonts w:ascii="Times New Roman" w:eastAsia="宋体" w:hAnsi="Times New Roman" w:cs="Times New Roman"/>
          <w:szCs w:val="21"/>
        </w:rPr>
      </w:pPr>
      <w:r w:rsidRPr="004013B5">
        <w:rPr>
          <w:rFonts w:ascii="黑体" w:eastAsia="黑体" w:hAnsi="黑体" w:cs="Times New Roman" w:hint="eastAsia"/>
          <w:szCs w:val="21"/>
        </w:rPr>
        <w:t>关注污染物</w:t>
      </w:r>
      <w:r w:rsidRPr="004013B5">
        <w:rPr>
          <w:rFonts w:ascii="Times New Roman" w:eastAsia="宋体" w:hAnsi="Times New Roman" w:cs="Times New Roman"/>
          <w:szCs w:val="21"/>
        </w:rPr>
        <w:t>contaminant of concern</w:t>
      </w:r>
    </w:p>
    <w:p w14:paraId="58656BDE"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根据地块污染特征、相关标准规范要求和地块利益相关方意见，确定需要进行土壤和地下水污染状况调查和风险评估的污染物。</w:t>
      </w:r>
    </w:p>
    <w:p w14:paraId="45E7FBFD" w14:textId="77777777" w:rsidR="00177B22" w:rsidRPr="004013B5" w:rsidRDefault="00664EDD" w:rsidP="00177B22">
      <w:pPr>
        <w:spacing w:beforeLines="50" w:before="156" w:afterLines="50" w:after="156"/>
        <w:rPr>
          <w:rFonts w:ascii="黑体" w:eastAsia="黑体" w:hAnsi="黑体" w:cs="Times New Roman"/>
          <w:szCs w:val="21"/>
        </w:rPr>
      </w:pPr>
      <w:r w:rsidRPr="004013B5">
        <w:rPr>
          <w:rFonts w:ascii="黑体" w:eastAsia="黑体" w:hAnsi="黑体" w:cs="Times New Roman" w:hint="eastAsia"/>
          <w:szCs w:val="21"/>
        </w:rPr>
        <w:t>3</w:t>
      </w:r>
      <w:r w:rsidRPr="004013B5">
        <w:rPr>
          <w:rFonts w:ascii="黑体" w:eastAsia="黑体" w:hAnsi="黑体" w:cs="Times New Roman"/>
          <w:szCs w:val="21"/>
        </w:rPr>
        <w:t>.</w:t>
      </w:r>
      <w:r w:rsidR="00177B22" w:rsidRPr="004013B5">
        <w:rPr>
          <w:rFonts w:ascii="黑体" w:eastAsia="黑体" w:hAnsi="黑体" w:cs="Times New Roman"/>
          <w:szCs w:val="21"/>
        </w:rPr>
        <w:t>6</w:t>
      </w:r>
    </w:p>
    <w:p w14:paraId="6FBAF8AA" w14:textId="77777777" w:rsidR="008F6058" w:rsidRPr="004013B5" w:rsidRDefault="00664EDD" w:rsidP="00177B22">
      <w:pPr>
        <w:spacing w:beforeLines="50" w:before="156" w:afterLines="50" w:after="156"/>
        <w:ind w:firstLineChars="200" w:firstLine="420"/>
        <w:rPr>
          <w:rFonts w:ascii="Times New Roman" w:eastAsia="宋体" w:hAnsi="Times New Roman" w:cs="Times New Roman"/>
          <w:szCs w:val="21"/>
        </w:rPr>
      </w:pPr>
      <w:r w:rsidRPr="004013B5">
        <w:rPr>
          <w:rFonts w:ascii="黑体" w:eastAsia="黑体" w:hAnsi="黑体" w:cs="Times New Roman" w:hint="eastAsia"/>
          <w:szCs w:val="21"/>
        </w:rPr>
        <w:t>目标污染物</w:t>
      </w:r>
      <w:r w:rsidRPr="004013B5">
        <w:rPr>
          <w:rFonts w:ascii="Times New Roman" w:eastAsia="宋体" w:hAnsi="Times New Roman" w:cs="Times New Roman"/>
          <w:szCs w:val="21"/>
        </w:rPr>
        <w:t>target contaminant</w:t>
      </w:r>
    </w:p>
    <w:p w14:paraId="72E29734"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在地块环境中其含量或浓度已达到对生态系统和人体健康具有实际或潜在不利影响的，需要进行修复的关注污染物。</w:t>
      </w:r>
    </w:p>
    <w:p w14:paraId="79CF930F" w14:textId="77777777" w:rsidR="00177B22" w:rsidRPr="004013B5" w:rsidRDefault="00664EDD" w:rsidP="00177B22">
      <w:pPr>
        <w:spacing w:beforeLines="50" w:before="156" w:afterLines="50" w:after="156"/>
        <w:rPr>
          <w:rFonts w:ascii="黑体" w:eastAsia="黑体" w:hAnsi="黑体" w:cs="Times New Roman"/>
          <w:szCs w:val="21"/>
        </w:rPr>
      </w:pPr>
      <w:r w:rsidRPr="004013B5">
        <w:rPr>
          <w:rFonts w:ascii="黑体" w:eastAsia="黑体" w:hAnsi="黑体" w:cs="Times New Roman" w:hint="eastAsia"/>
          <w:szCs w:val="21"/>
        </w:rPr>
        <w:t>3</w:t>
      </w:r>
      <w:r w:rsidRPr="004013B5">
        <w:rPr>
          <w:rFonts w:ascii="黑体" w:eastAsia="黑体" w:hAnsi="黑体" w:cs="Times New Roman"/>
          <w:szCs w:val="21"/>
        </w:rPr>
        <w:t>.7</w:t>
      </w:r>
    </w:p>
    <w:p w14:paraId="2B499951" w14:textId="77777777" w:rsidR="008F6058" w:rsidRPr="004013B5" w:rsidRDefault="00664EDD" w:rsidP="00177B22">
      <w:pPr>
        <w:spacing w:beforeLines="50" w:before="156" w:afterLines="50" w:after="156"/>
        <w:ind w:firstLineChars="200" w:firstLine="420"/>
        <w:rPr>
          <w:rFonts w:ascii="Times New Roman" w:eastAsia="宋体" w:hAnsi="Times New Roman" w:cs="Times New Roman"/>
          <w:szCs w:val="21"/>
        </w:rPr>
      </w:pPr>
      <w:r w:rsidRPr="004013B5">
        <w:rPr>
          <w:rFonts w:ascii="黑体" w:eastAsia="黑体" w:hAnsi="黑体" w:cs="Times New Roman" w:hint="eastAsia"/>
          <w:szCs w:val="21"/>
        </w:rPr>
        <w:t>地块残余废弃物</w:t>
      </w:r>
      <w:r w:rsidRPr="004013B5">
        <w:rPr>
          <w:rFonts w:ascii="Times New Roman" w:eastAsia="宋体" w:hAnsi="Times New Roman" w:cs="Times New Roman"/>
          <w:szCs w:val="21"/>
        </w:rPr>
        <w:t>on-site residual material</w:t>
      </w:r>
    </w:p>
    <w:p w14:paraId="418B7D6F"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地块内遗留遗弃的各种与生产经营活动相关的设备、设施及其他物质，主要包括遗留的生产原料、工业废渣、废弃化学品及其污染物，残留在废弃设施、容器及管道内的固态、半固态及液态物质，以及其它与当地土壤特征有明显区别的固态物质。</w:t>
      </w:r>
    </w:p>
    <w:p w14:paraId="1F57F054" w14:textId="77777777" w:rsidR="00177B22" w:rsidRPr="004013B5" w:rsidRDefault="00664EDD" w:rsidP="00177B22">
      <w:pPr>
        <w:spacing w:beforeLines="50" w:before="156" w:afterLines="50" w:after="156"/>
        <w:rPr>
          <w:rFonts w:ascii="黑体" w:eastAsia="黑体" w:hAnsi="黑体" w:cs="Times New Roman"/>
          <w:szCs w:val="21"/>
        </w:rPr>
      </w:pPr>
      <w:r w:rsidRPr="004013B5">
        <w:rPr>
          <w:rFonts w:ascii="黑体" w:eastAsia="黑体" w:hAnsi="黑体" w:cs="Times New Roman" w:hint="eastAsia"/>
          <w:szCs w:val="21"/>
        </w:rPr>
        <w:t>3</w:t>
      </w:r>
      <w:r w:rsidRPr="004013B5">
        <w:rPr>
          <w:rFonts w:ascii="黑体" w:eastAsia="黑体" w:hAnsi="黑体" w:cs="Times New Roman"/>
          <w:szCs w:val="21"/>
        </w:rPr>
        <w:t>.8</w:t>
      </w:r>
    </w:p>
    <w:p w14:paraId="0BAB9AAA" w14:textId="77777777" w:rsidR="008F6058" w:rsidRPr="004013B5" w:rsidRDefault="00664EDD" w:rsidP="00177B22">
      <w:pPr>
        <w:spacing w:beforeLines="50" w:before="156" w:afterLines="50" w:after="156"/>
        <w:ind w:firstLineChars="200" w:firstLine="420"/>
        <w:rPr>
          <w:rFonts w:ascii="Times New Roman" w:eastAsia="宋体" w:hAnsi="Times New Roman" w:cs="Times New Roman"/>
          <w:szCs w:val="21"/>
        </w:rPr>
      </w:pPr>
      <w:r w:rsidRPr="004013B5">
        <w:rPr>
          <w:rFonts w:ascii="黑体" w:eastAsia="黑体" w:hAnsi="黑体" w:cs="Times New Roman" w:hint="eastAsia"/>
          <w:szCs w:val="21"/>
        </w:rPr>
        <w:t>地层结构</w:t>
      </w:r>
      <w:r w:rsidRPr="004013B5">
        <w:rPr>
          <w:rFonts w:ascii="Times New Roman" w:eastAsia="宋体" w:hAnsi="Times New Roman" w:cs="Times New Roman"/>
          <w:szCs w:val="21"/>
        </w:rPr>
        <w:t>stratigraphic structure</w:t>
      </w:r>
    </w:p>
    <w:p w14:paraId="51591E8F"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岩层或土层的成因、形成的年代、名称、岩性、颜色、主要矿物成分、结构和构造、地层的厚度及其变化、沉积顺序等。</w:t>
      </w:r>
    </w:p>
    <w:p w14:paraId="62F633A1" w14:textId="77777777" w:rsidR="00177B22" w:rsidRPr="004013B5" w:rsidRDefault="00664EDD" w:rsidP="00177B22">
      <w:pPr>
        <w:spacing w:beforeLines="50" w:before="156" w:afterLines="50" w:after="156"/>
        <w:rPr>
          <w:rFonts w:ascii="黑体" w:eastAsia="黑体" w:hAnsi="黑体" w:cs="Times New Roman"/>
          <w:szCs w:val="21"/>
        </w:rPr>
      </w:pPr>
      <w:r w:rsidRPr="004013B5">
        <w:rPr>
          <w:rFonts w:ascii="黑体" w:eastAsia="黑体" w:hAnsi="黑体" w:cs="Times New Roman" w:hint="eastAsia"/>
          <w:szCs w:val="21"/>
        </w:rPr>
        <w:lastRenderedPageBreak/>
        <w:t>3</w:t>
      </w:r>
      <w:r w:rsidRPr="004013B5">
        <w:rPr>
          <w:rFonts w:ascii="黑体" w:eastAsia="黑体" w:hAnsi="黑体" w:cs="Times New Roman"/>
          <w:szCs w:val="21"/>
        </w:rPr>
        <w:t>.9</w:t>
      </w:r>
    </w:p>
    <w:p w14:paraId="1A27A5F8" w14:textId="77777777" w:rsidR="008F6058" w:rsidRPr="004013B5" w:rsidRDefault="00664EDD" w:rsidP="00177B22">
      <w:pPr>
        <w:spacing w:beforeLines="50" w:before="156" w:afterLines="50" w:after="156"/>
        <w:ind w:firstLineChars="200" w:firstLine="420"/>
        <w:rPr>
          <w:rFonts w:ascii="Times New Roman" w:eastAsia="宋体" w:hAnsi="Times New Roman" w:cs="Times New Roman"/>
          <w:szCs w:val="21"/>
        </w:rPr>
      </w:pPr>
      <w:r w:rsidRPr="004013B5">
        <w:rPr>
          <w:rFonts w:ascii="黑体" w:eastAsia="黑体" w:hAnsi="黑体" w:cs="Times New Roman" w:hint="eastAsia"/>
          <w:szCs w:val="21"/>
        </w:rPr>
        <w:t>水文地质条件</w:t>
      </w:r>
      <w:r w:rsidRPr="004013B5">
        <w:rPr>
          <w:rFonts w:ascii="Times New Roman" w:eastAsia="宋体" w:hAnsi="Times New Roman" w:cs="Times New Roman"/>
          <w:szCs w:val="21"/>
        </w:rPr>
        <w:t>hydrogeological condition</w:t>
      </w:r>
    </w:p>
    <w:p w14:paraId="7E16E5F2"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地下水埋藏、分布、补给、径流和排泄条件，水质和水量及其形成地质条件等的总称。</w:t>
      </w:r>
    </w:p>
    <w:p w14:paraId="4F80605C" w14:textId="77777777" w:rsidR="00177B22" w:rsidRPr="004013B5" w:rsidRDefault="00664EDD" w:rsidP="00177B22">
      <w:pPr>
        <w:spacing w:beforeLines="50" w:before="156" w:afterLines="50" w:after="156"/>
        <w:rPr>
          <w:rFonts w:ascii="黑体" w:eastAsia="黑体" w:hAnsi="黑体" w:cs="Times New Roman"/>
          <w:szCs w:val="21"/>
        </w:rPr>
      </w:pPr>
      <w:r w:rsidRPr="004013B5">
        <w:rPr>
          <w:rFonts w:ascii="黑体" w:eastAsia="黑体" w:hAnsi="黑体" w:cs="Times New Roman" w:hint="eastAsia"/>
          <w:szCs w:val="21"/>
        </w:rPr>
        <w:t>3</w:t>
      </w:r>
      <w:r w:rsidRPr="004013B5">
        <w:rPr>
          <w:rFonts w:ascii="黑体" w:eastAsia="黑体" w:hAnsi="黑体" w:cs="Times New Roman"/>
          <w:szCs w:val="21"/>
        </w:rPr>
        <w:t>.10</w:t>
      </w:r>
    </w:p>
    <w:p w14:paraId="0AFD958C" w14:textId="77777777" w:rsidR="008F6058" w:rsidRPr="004013B5" w:rsidRDefault="00664EDD" w:rsidP="00177B22">
      <w:pPr>
        <w:spacing w:beforeLines="50" w:before="156" w:afterLines="50" w:after="156"/>
        <w:ind w:firstLineChars="200" w:firstLine="420"/>
        <w:rPr>
          <w:rFonts w:ascii="Times New Roman" w:eastAsia="宋体" w:hAnsi="Times New Roman" w:cs="Times New Roman"/>
          <w:szCs w:val="21"/>
        </w:rPr>
      </w:pPr>
      <w:r w:rsidRPr="004013B5">
        <w:rPr>
          <w:rFonts w:ascii="黑体" w:eastAsia="黑体" w:hAnsi="黑体" w:cs="Times New Roman" w:hint="eastAsia"/>
          <w:szCs w:val="21"/>
        </w:rPr>
        <w:t>地下水污染羽</w:t>
      </w:r>
      <w:r w:rsidRPr="004013B5">
        <w:rPr>
          <w:rFonts w:ascii="Times New Roman" w:eastAsia="宋体" w:hAnsi="Times New Roman" w:cs="Times New Roman"/>
          <w:szCs w:val="21"/>
        </w:rPr>
        <w:t>groundwater plume</w:t>
      </w:r>
    </w:p>
    <w:p w14:paraId="3D5ED375"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污染物随地下水移动从污染源向周边移动和扩散时所形成的污染区域。</w:t>
      </w:r>
    </w:p>
    <w:p w14:paraId="79E300CC" w14:textId="77777777" w:rsidR="00177B22" w:rsidRPr="004013B5" w:rsidRDefault="00664EDD" w:rsidP="00177B22">
      <w:pPr>
        <w:spacing w:beforeLines="50" w:before="156" w:afterLines="50" w:after="156"/>
        <w:rPr>
          <w:rFonts w:ascii="黑体" w:eastAsia="黑体" w:hAnsi="黑体" w:cs="Times New Roman"/>
          <w:szCs w:val="21"/>
        </w:rPr>
      </w:pPr>
      <w:r w:rsidRPr="004013B5">
        <w:rPr>
          <w:rFonts w:ascii="黑体" w:eastAsia="黑体" w:hAnsi="黑体" w:cs="Times New Roman" w:hint="eastAsia"/>
          <w:szCs w:val="21"/>
        </w:rPr>
        <w:t>3</w:t>
      </w:r>
      <w:r w:rsidRPr="004013B5">
        <w:rPr>
          <w:rFonts w:ascii="黑体" w:eastAsia="黑体" w:hAnsi="黑体" w:cs="Times New Roman"/>
          <w:szCs w:val="21"/>
        </w:rPr>
        <w:t>.11</w:t>
      </w:r>
    </w:p>
    <w:p w14:paraId="14A29563" w14:textId="77777777" w:rsidR="008F6058" w:rsidRPr="004013B5" w:rsidRDefault="00664EDD" w:rsidP="00177B22">
      <w:pPr>
        <w:spacing w:beforeLines="50" w:before="156" w:afterLines="50" w:after="156"/>
        <w:ind w:firstLineChars="200" w:firstLine="420"/>
        <w:rPr>
          <w:rFonts w:ascii="Times New Roman" w:eastAsia="宋体" w:hAnsi="Times New Roman" w:cs="Times New Roman"/>
          <w:szCs w:val="21"/>
        </w:rPr>
      </w:pPr>
      <w:r w:rsidRPr="004013B5">
        <w:rPr>
          <w:rFonts w:ascii="黑体" w:eastAsia="黑体" w:hAnsi="黑体" w:cs="Times New Roman" w:hint="eastAsia"/>
          <w:szCs w:val="21"/>
        </w:rPr>
        <w:t>地下水埋深</w:t>
      </w:r>
      <w:r w:rsidRPr="004013B5">
        <w:rPr>
          <w:rFonts w:ascii="Times New Roman" w:eastAsia="宋体" w:hAnsi="Times New Roman" w:cs="Times New Roman"/>
          <w:szCs w:val="21"/>
        </w:rPr>
        <w:t>buried depth of groundwater table</w:t>
      </w:r>
    </w:p>
    <w:p w14:paraId="3C49B36F"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从地表到地下水潜水面或承压水面的垂直深度。</w:t>
      </w:r>
    </w:p>
    <w:p w14:paraId="72757333" w14:textId="77777777" w:rsidR="00177B22" w:rsidRPr="004013B5" w:rsidRDefault="00664EDD" w:rsidP="00177B22">
      <w:pPr>
        <w:spacing w:beforeLines="50" w:before="156" w:afterLines="50" w:after="156"/>
        <w:rPr>
          <w:rFonts w:ascii="黑体" w:eastAsia="黑体" w:hAnsi="黑体" w:cs="Times New Roman"/>
          <w:szCs w:val="21"/>
        </w:rPr>
      </w:pPr>
      <w:r w:rsidRPr="004013B5">
        <w:rPr>
          <w:rFonts w:ascii="黑体" w:eastAsia="黑体" w:hAnsi="黑体" w:cs="Times New Roman" w:hint="eastAsia"/>
          <w:szCs w:val="21"/>
        </w:rPr>
        <w:t>3</w:t>
      </w:r>
      <w:r w:rsidRPr="004013B5">
        <w:rPr>
          <w:rFonts w:ascii="黑体" w:eastAsia="黑体" w:hAnsi="黑体" w:cs="Times New Roman"/>
          <w:szCs w:val="21"/>
        </w:rPr>
        <w:t>.12</w:t>
      </w:r>
    </w:p>
    <w:p w14:paraId="1ED16F7A" w14:textId="77777777" w:rsidR="008F6058" w:rsidRPr="004013B5" w:rsidRDefault="00664EDD" w:rsidP="00177B22">
      <w:pPr>
        <w:spacing w:beforeLines="50" w:before="156" w:afterLines="50" w:after="156"/>
        <w:ind w:firstLineChars="200" w:firstLine="420"/>
        <w:rPr>
          <w:rFonts w:ascii="Times New Roman" w:eastAsia="宋体" w:hAnsi="Times New Roman" w:cs="Times New Roman"/>
          <w:szCs w:val="21"/>
        </w:rPr>
      </w:pPr>
      <w:r w:rsidRPr="004013B5">
        <w:rPr>
          <w:rFonts w:ascii="黑体" w:eastAsia="黑体" w:hAnsi="黑体" w:cs="Times New Roman" w:hint="eastAsia"/>
          <w:szCs w:val="21"/>
        </w:rPr>
        <w:t>水力梯度</w:t>
      </w:r>
      <w:r w:rsidRPr="004013B5">
        <w:rPr>
          <w:rFonts w:ascii="Times New Roman" w:eastAsia="宋体" w:hAnsi="Times New Roman" w:cs="Times New Roman"/>
          <w:szCs w:val="21"/>
        </w:rPr>
        <w:t>hydraulic gradient</w:t>
      </w:r>
    </w:p>
    <w:p w14:paraId="63AE7036"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沿渗透途径水头损失与相应渗透途径长度的比值。</w:t>
      </w:r>
    </w:p>
    <w:p w14:paraId="3613C01A" w14:textId="77777777" w:rsidR="00177B22" w:rsidRPr="004013B5" w:rsidRDefault="00664EDD" w:rsidP="00177B22">
      <w:pPr>
        <w:spacing w:beforeLines="50" w:before="156" w:afterLines="50" w:after="156"/>
        <w:rPr>
          <w:rFonts w:ascii="黑体" w:eastAsia="黑体" w:hAnsi="黑体" w:cs="Times New Roman"/>
          <w:szCs w:val="21"/>
        </w:rPr>
      </w:pPr>
      <w:r w:rsidRPr="004013B5">
        <w:rPr>
          <w:rFonts w:ascii="黑体" w:eastAsia="黑体" w:hAnsi="黑体" w:cs="Times New Roman" w:hint="eastAsia"/>
          <w:szCs w:val="21"/>
        </w:rPr>
        <w:t>3</w:t>
      </w:r>
      <w:r w:rsidRPr="004013B5">
        <w:rPr>
          <w:rFonts w:ascii="黑体" w:eastAsia="黑体" w:hAnsi="黑体" w:cs="Times New Roman"/>
          <w:szCs w:val="21"/>
        </w:rPr>
        <w:t>.13</w:t>
      </w:r>
    </w:p>
    <w:p w14:paraId="2EBD8248" w14:textId="77777777" w:rsidR="008F6058" w:rsidRPr="004013B5" w:rsidRDefault="00664EDD" w:rsidP="00177B22">
      <w:pPr>
        <w:spacing w:beforeLines="50" w:before="156" w:afterLines="50" w:after="156"/>
        <w:ind w:firstLineChars="200" w:firstLine="420"/>
        <w:rPr>
          <w:rFonts w:ascii="Times New Roman" w:eastAsia="宋体" w:hAnsi="Times New Roman" w:cs="Times New Roman"/>
          <w:szCs w:val="21"/>
        </w:rPr>
      </w:pPr>
      <w:r w:rsidRPr="004013B5">
        <w:rPr>
          <w:rFonts w:ascii="黑体" w:eastAsia="黑体" w:hAnsi="黑体" w:cs="Times New Roman" w:hint="eastAsia"/>
          <w:szCs w:val="21"/>
        </w:rPr>
        <w:t>渗透系数</w:t>
      </w:r>
      <w:r w:rsidRPr="004013B5">
        <w:rPr>
          <w:rFonts w:ascii="Times New Roman" w:eastAsia="宋体" w:hAnsi="Times New Roman" w:cs="Times New Roman"/>
          <w:szCs w:val="21"/>
        </w:rPr>
        <w:t>permeability coefficient</w:t>
      </w:r>
    </w:p>
    <w:p w14:paraId="373BE005"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饱和土壤中，在单位水压梯度下，水分通过垂直于水流方向的单位截面的速度。</w:t>
      </w:r>
    </w:p>
    <w:p w14:paraId="0F0DEDD2" w14:textId="77777777" w:rsidR="00177B22" w:rsidRPr="004013B5" w:rsidRDefault="00664EDD" w:rsidP="00177B22">
      <w:pPr>
        <w:spacing w:beforeLines="50" w:before="156" w:afterLines="50" w:after="156"/>
        <w:rPr>
          <w:rFonts w:ascii="黑体" w:eastAsia="黑体" w:hAnsi="黑体" w:cs="Times New Roman"/>
          <w:szCs w:val="21"/>
        </w:rPr>
      </w:pPr>
      <w:r w:rsidRPr="004013B5">
        <w:rPr>
          <w:rFonts w:ascii="黑体" w:eastAsia="黑体" w:hAnsi="黑体" w:cs="Times New Roman" w:hint="eastAsia"/>
          <w:szCs w:val="21"/>
        </w:rPr>
        <w:t>3</w:t>
      </w:r>
      <w:r w:rsidRPr="004013B5">
        <w:rPr>
          <w:rFonts w:ascii="黑体" w:eastAsia="黑体" w:hAnsi="黑体" w:cs="Times New Roman"/>
          <w:szCs w:val="21"/>
        </w:rPr>
        <w:t>.14</w:t>
      </w:r>
    </w:p>
    <w:p w14:paraId="24694823" w14:textId="77777777" w:rsidR="008F6058" w:rsidRPr="004013B5" w:rsidRDefault="00664EDD" w:rsidP="00177B22">
      <w:pPr>
        <w:spacing w:beforeLines="50" w:before="156" w:afterLines="50" w:after="156"/>
        <w:ind w:firstLineChars="200" w:firstLine="420"/>
        <w:rPr>
          <w:rFonts w:ascii="Times New Roman" w:eastAsia="宋体" w:hAnsi="Times New Roman" w:cs="Times New Roman"/>
          <w:szCs w:val="21"/>
        </w:rPr>
      </w:pPr>
      <w:r w:rsidRPr="004013B5">
        <w:rPr>
          <w:rFonts w:ascii="黑体" w:eastAsia="黑体" w:hAnsi="黑体" w:cs="Times New Roman" w:hint="eastAsia"/>
          <w:szCs w:val="21"/>
        </w:rPr>
        <w:t>潜水层</w:t>
      </w:r>
      <w:r w:rsidRPr="004013B5">
        <w:rPr>
          <w:rFonts w:ascii="Times New Roman" w:eastAsia="宋体" w:hAnsi="Times New Roman" w:cs="Times New Roman"/>
          <w:szCs w:val="21"/>
        </w:rPr>
        <w:t>unconfined aquifer layer</w:t>
      </w:r>
      <w:r w:rsidRPr="004013B5">
        <w:rPr>
          <w:rFonts w:ascii="Times New Roman" w:eastAsia="宋体" w:hAnsi="Times New Roman" w:cs="Times New Roman"/>
          <w:szCs w:val="21"/>
        </w:rPr>
        <w:t>；</w:t>
      </w:r>
      <w:r w:rsidRPr="004013B5">
        <w:rPr>
          <w:rFonts w:ascii="Times New Roman" w:eastAsia="宋体" w:hAnsi="Times New Roman" w:cs="Times New Roman"/>
          <w:szCs w:val="21"/>
        </w:rPr>
        <w:t>phreatic stratum</w:t>
      </w:r>
    </w:p>
    <w:p w14:paraId="76013F0D"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地表以下第一个稳定水层，有自由水面，以上没有连续的隔水层，不承压或仅局部承压。</w:t>
      </w:r>
    </w:p>
    <w:p w14:paraId="28DCDBD9" w14:textId="77777777" w:rsidR="00177B22" w:rsidRPr="004013B5" w:rsidRDefault="00664EDD" w:rsidP="00177B22">
      <w:pPr>
        <w:spacing w:beforeLines="50" w:before="156" w:afterLines="50" w:after="156"/>
        <w:rPr>
          <w:rFonts w:ascii="黑体" w:eastAsia="黑体" w:hAnsi="黑体" w:cs="Times New Roman"/>
          <w:szCs w:val="21"/>
        </w:rPr>
      </w:pPr>
      <w:r w:rsidRPr="004013B5">
        <w:rPr>
          <w:rFonts w:ascii="黑体" w:eastAsia="黑体" w:hAnsi="黑体" w:cs="Times New Roman" w:hint="eastAsia"/>
          <w:szCs w:val="21"/>
        </w:rPr>
        <w:t>3</w:t>
      </w:r>
      <w:r w:rsidRPr="004013B5">
        <w:rPr>
          <w:rFonts w:ascii="黑体" w:eastAsia="黑体" w:hAnsi="黑体" w:cs="Times New Roman"/>
          <w:szCs w:val="21"/>
        </w:rPr>
        <w:t>.15</w:t>
      </w:r>
    </w:p>
    <w:p w14:paraId="3BEACCB4" w14:textId="77777777" w:rsidR="008F6058" w:rsidRPr="004013B5" w:rsidRDefault="00664EDD" w:rsidP="00177B22">
      <w:pPr>
        <w:spacing w:beforeLines="50" w:before="156" w:afterLines="50" w:after="156"/>
        <w:ind w:firstLineChars="200" w:firstLine="420"/>
        <w:rPr>
          <w:rFonts w:ascii="Times New Roman" w:eastAsia="宋体" w:hAnsi="Times New Roman" w:cs="Times New Roman"/>
          <w:szCs w:val="21"/>
        </w:rPr>
      </w:pPr>
      <w:r w:rsidRPr="004013B5">
        <w:rPr>
          <w:rFonts w:ascii="黑体" w:eastAsia="黑体" w:hAnsi="黑体" w:cs="Times New Roman" w:hint="eastAsia"/>
          <w:szCs w:val="21"/>
        </w:rPr>
        <w:t>含水层</w:t>
      </w:r>
      <w:r w:rsidRPr="004013B5">
        <w:rPr>
          <w:rFonts w:ascii="Times New Roman" w:eastAsia="宋体" w:hAnsi="Times New Roman" w:cs="Times New Roman"/>
          <w:szCs w:val="21"/>
        </w:rPr>
        <w:t>aquifer</w:t>
      </w:r>
    </w:p>
    <w:p w14:paraId="39BBEA0F"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能够透过并给出相当数量水的岩层。</w:t>
      </w:r>
    </w:p>
    <w:p w14:paraId="790F2507" w14:textId="77777777" w:rsidR="00177B22" w:rsidRPr="004013B5" w:rsidRDefault="00664EDD" w:rsidP="00177B22">
      <w:pPr>
        <w:spacing w:beforeLines="50" w:before="156" w:afterLines="50" w:after="156"/>
        <w:rPr>
          <w:rFonts w:ascii="黑体" w:eastAsia="黑体" w:hAnsi="黑体" w:cs="Times New Roman"/>
          <w:szCs w:val="21"/>
        </w:rPr>
      </w:pPr>
      <w:r w:rsidRPr="004013B5">
        <w:rPr>
          <w:rFonts w:ascii="黑体" w:eastAsia="黑体" w:hAnsi="黑体" w:cs="Times New Roman" w:hint="eastAsia"/>
          <w:szCs w:val="21"/>
        </w:rPr>
        <w:t>3</w:t>
      </w:r>
      <w:r w:rsidRPr="004013B5">
        <w:rPr>
          <w:rFonts w:ascii="黑体" w:eastAsia="黑体" w:hAnsi="黑体" w:cs="Times New Roman"/>
          <w:szCs w:val="21"/>
        </w:rPr>
        <w:t>.16</w:t>
      </w:r>
    </w:p>
    <w:p w14:paraId="550C66BE" w14:textId="77777777" w:rsidR="008F6058" w:rsidRPr="004013B5" w:rsidRDefault="00664EDD" w:rsidP="00177B22">
      <w:pPr>
        <w:spacing w:beforeLines="50" w:before="156" w:afterLines="50" w:after="156"/>
        <w:ind w:firstLineChars="200" w:firstLine="420"/>
        <w:rPr>
          <w:rFonts w:ascii="Times New Roman" w:eastAsia="宋体" w:hAnsi="Times New Roman" w:cs="Times New Roman"/>
          <w:szCs w:val="21"/>
        </w:rPr>
      </w:pPr>
      <w:r w:rsidRPr="004013B5">
        <w:rPr>
          <w:rFonts w:ascii="黑体" w:eastAsia="黑体" w:hAnsi="黑体" w:cs="Times New Roman" w:hint="eastAsia"/>
          <w:szCs w:val="21"/>
        </w:rPr>
        <w:t>隔水层</w:t>
      </w:r>
      <w:r w:rsidRPr="004013B5">
        <w:rPr>
          <w:rFonts w:ascii="Times New Roman" w:eastAsia="宋体" w:hAnsi="Times New Roman" w:cs="Times New Roman"/>
          <w:szCs w:val="21"/>
        </w:rPr>
        <w:t>aquitard</w:t>
      </w:r>
    </w:p>
    <w:p w14:paraId="57CE61C3"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不能透过与给出水，或者透过与给出的水量微不足道的岩层。</w:t>
      </w:r>
    </w:p>
    <w:p w14:paraId="23894E68" w14:textId="77777777" w:rsidR="00177B22" w:rsidRPr="004013B5" w:rsidRDefault="00664EDD" w:rsidP="00177B22">
      <w:pPr>
        <w:spacing w:beforeLines="50" w:before="156" w:afterLines="50" w:after="156"/>
        <w:rPr>
          <w:rFonts w:ascii="黑体" w:eastAsia="黑体" w:hAnsi="黑体" w:cs="Times New Roman"/>
          <w:szCs w:val="21"/>
        </w:rPr>
      </w:pPr>
      <w:r w:rsidRPr="004013B5">
        <w:rPr>
          <w:rFonts w:ascii="黑体" w:eastAsia="黑体" w:hAnsi="黑体" w:cs="Times New Roman" w:hint="eastAsia"/>
          <w:szCs w:val="21"/>
        </w:rPr>
        <w:t>3</w:t>
      </w:r>
      <w:r w:rsidRPr="004013B5">
        <w:rPr>
          <w:rFonts w:ascii="黑体" w:eastAsia="黑体" w:hAnsi="黑体" w:cs="Times New Roman"/>
          <w:szCs w:val="21"/>
        </w:rPr>
        <w:t>.17</w:t>
      </w:r>
    </w:p>
    <w:p w14:paraId="6591BA14" w14:textId="77777777" w:rsidR="008F6058" w:rsidRPr="004013B5" w:rsidRDefault="00664EDD" w:rsidP="00177B22">
      <w:pPr>
        <w:spacing w:beforeLines="50" w:before="156" w:afterLines="50" w:after="156"/>
        <w:ind w:firstLineChars="200" w:firstLine="420"/>
        <w:rPr>
          <w:rFonts w:ascii="Times New Roman" w:eastAsia="宋体" w:hAnsi="Times New Roman" w:cs="Times New Roman"/>
          <w:szCs w:val="21"/>
        </w:rPr>
      </w:pPr>
      <w:r w:rsidRPr="004013B5">
        <w:rPr>
          <w:rFonts w:ascii="黑体" w:eastAsia="黑体" w:hAnsi="黑体" w:cs="Times New Roman" w:hint="eastAsia"/>
          <w:szCs w:val="21"/>
        </w:rPr>
        <w:t>透水层</w:t>
      </w:r>
      <w:r w:rsidRPr="004013B5">
        <w:rPr>
          <w:rFonts w:ascii="Times New Roman" w:eastAsia="宋体" w:hAnsi="Times New Roman" w:cs="Times New Roman"/>
          <w:szCs w:val="21"/>
        </w:rPr>
        <w:t>permeable layer</w:t>
      </w:r>
    </w:p>
    <w:p w14:paraId="229C8A5A"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透水而不饱水的岩层。</w:t>
      </w:r>
    </w:p>
    <w:p w14:paraId="6A74668D" w14:textId="77777777" w:rsidR="00177B22" w:rsidRPr="004013B5" w:rsidRDefault="00664EDD" w:rsidP="00177B22">
      <w:pPr>
        <w:spacing w:beforeLines="50" w:before="156" w:afterLines="50" w:after="156"/>
        <w:rPr>
          <w:rFonts w:ascii="黑体" w:eastAsia="黑体" w:hAnsi="黑体" w:cs="Times New Roman"/>
          <w:szCs w:val="21"/>
        </w:rPr>
      </w:pPr>
      <w:r w:rsidRPr="004013B5">
        <w:rPr>
          <w:rFonts w:ascii="黑体" w:eastAsia="黑体" w:hAnsi="黑体" w:cs="Times New Roman" w:hint="eastAsia"/>
          <w:szCs w:val="21"/>
        </w:rPr>
        <w:t>3</w:t>
      </w:r>
      <w:r w:rsidRPr="004013B5">
        <w:rPr>
          <w:rFonts w:ascii="黑体" w:eastAsia="黑体" w:hAnsi="黑体" w:cs="Times New Roman"/>
          <w:szCs w:val="21"/>
        </w:rPr>
        <w:t>.18</w:t>
      </w:r>
    </w:p>
    <w:p w14:paraId="0E8F107C" w14:textId="77777777" w:rsidR="008F6058" w:rsidRPr="004013B5" w:rsidRDefault="00664EDD" w:rsidP="00177B22">
      <w:pPr>
        <w:spacing w:beforeLines="50" w:before="156" w:afterLines="50" w:after="156"/>
        <w:ind w:firstLineChars="200" w:firstLine="420"/>
        <w:rPr>
          <w:rFonts w:ascii="Times New Roman" w:eastAsia="宋体" w:hAnsi="Times New Roman" w:cs="Times New Roman"/>
          <w:szCs w:val="21"/>
        </w:rPr>
      </w:pPr>
      <w:r w:rsidRPr="004013B5">
        <w:rPr>
          <w:rFonts w:ascii="黑体" w:eastAsia="黑体" w:hAnsi="黑体" w:cs="Times New Roman" w:hint="eastAsia"/>
          <w:szCs w:val="21"/>
        </w:rPr>
        <w:t>非饱和带</w:t>
      </w:r>
      <w:r w:rsidRPr="004013B5">
        <w:rPr>
          <w:rFonts w:ascii="Times New Roman" w:eastAsia="宋体" w:hAnsi="Times New Roman" w:cs="Times New Roman"/>
          <w:szCs w:val="21"/>
        </w:rPr>
        <w:t>unsaturated zone</w:t>
      </w:r>
    </w:p>
    <w:p w14:paraId="21780FAF"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又称包气带，是指地表面与地下水面之间与大气相通的，含有气体的地带。</w:t>
      </w:r>
    </w:p>
    <w:p w14:paraId="15FE6D9D" w14:textId="77777777" w:rsidR="00177B22" w:rsidRPr="004013B5" w:rsidRDefault="00664EDD" w:rsidP="00177B22">
      <w:pPr>
        <w:spacing w:beforeLines="50" w:before="156" w:afterLines="50" w:after="156"/>
        <w:rPr>
          <w:rFonts w:ascii="黑体" w:eastAsia="黑体" w:hAnsi="黑体" w:cs="Times New Roman"/>
          <w:szCs w:val="21"/>
        </w:rPr>
      </w:pPr>
      <w:r w:rsidRPr="004013B5">
        <w:rPr>
          <w:rFonts w:ascii="黑体" w:eastAsia="黑体" w:hAnsi="黑体" w:cs="Times New Roman" w:hint="eastAsia"/>
          <w:szCs w:val="21"/>
        </w:rPr>
        <w:t>3</w:t>
      </w:r>
      <w:r w:rsidRPr="004013B5">
        <w:rPr>
          <w:rFonts w:ascii="黑体" w:eastAsia="黑体" w:hAnsi="黑体" w:cs="Times New Roman"/>
          <w:szCs w:val="21"/>
        </w:rPr>
        <w:t>.19</w:t>
      </w:r>
    </w:p>
    <w:p w14:paraId="5CBFECFC" w14:textId="77777777" w:rsidR="008F6058" w:rsidRPr="004013B5" w:rsidRDefault="00664EDD" w:rsidP="00177B22">
      <w:pPr>
        <w:spacing w:beforeLines="50" w:before="156" w:afterLines="50" w:after="156"/>
        <w:ind w:firstLineChars="200" w:firstLine="420"/>
        <w:rPr>
          <w:rFonts w:ascii="Times New Roman" w:eastAsia="宋体" w:hAnsi="Times New Roman" w:cs="Times New Roman"/>
          <w:szCs w:val="21"/>
        </w:rPr>
      </w:pPr>
      <w:r w:rsidRPr="004013B5">
        <w:rPr>
          <w:rFonts w:ascii="黑体" w:eastAsia="黑体" w:hAnsi="黑体" w:cs="Times New Roman" w:hint="eastAsia"/>
          <w:szCs w:val="21"/>
        </w:rPr>
        <w:lastRenderedPageBreak/>
        <w:t>饱水带</w:t>
      </w:r>
      <w:r w:rsidRPr="004013B5">
        <w:rPr>
          <w:rFonts w:ascii="Times New Roman" w:eastAsia="宋体" w:hAnsi="Times New Roman" w:cs="Times New Roman"/>
          <w:szCs w:val="21"/>
        </w:rPr>
        <w:t>saturated zone</w:t>
      </w:r>
    </w:p>
    <w:p w14:paraId="49F36E4A"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又称饱和带，是指地下水面以下，土层或岩层的空隙全部被水充满的地带。</w:t>
      </w:r>
    </w:p>
    <w:p w14:paraId="1ADAF88F" w14:textId="77777777" w:rsidR="00177B22" w:rsidRPr="004013B5" w:rsidRDefault="00664EDD" w:rsidP="00177B22">
      <w:pPr>
        <w:spacing w:beforeLines="50" w:before="156" w:afterLines="50" w:after="156"/>
        <w:rPr>
          <w:rFonts w:ascii="黑体" w:eastAsia="黑体" w:hAnsi="黑体" w:cs="Times New Roman"/>
          <w:szCs w:val="21"/>
        </w:rPr>
      </w:pPr>
      <w:r w:rsidRPr="004013B5">
        <w:rPr>
          <w:rFonts w:ascii="黑体" w:eastAsia="黑体" w:hAnsi="黑体" w:cs="Times New Roman"/>
          <w:szCs w:val="21"/>
        </w:rPr>
        <w:t>3.20</w:t>
      </w:r>
    </w:p>
    <w:p w14:paraId="5D7E3A19" w14:textId="77777777" w:rsidR="008F6058" w:rsidRPr="004013B5" w:rsidRDefault="00664EDD" w:rsidP="00177B22">
      <w:pPr>
        <w:spacing w:beforeLines="50" w:before="156" w:afterLines="50" w:after="156"/>
        <w:ind w:firstLineChars="200" w:firstLine="420"/>
        <w:rPr>
          <w:rFonts w:ascii="Times New Roman" w:eastAsia="宋体" w:hAnsi="Times New Roman" w:cs="Times New Roman"/>
          <w:szCs w:val="21"/>
        </w:rPr>
      </w:pPr>
      <w:r w:rsidRPr="004013B5">
        <w:rPr>
          <w:rFonts w:ascii="黑体" w:eastAsia="黑体" w:hAnsi="黑体" w:cs="Times New Roman"/>
          <w:szCs w:val="21"/>
        </w:rPr>
        <w:t>潜水</w:t>
      </w:r>
      <w:r w:rsidRPr="004013B5">
        <w:rPr>
          <w:rFonts w:ascii="Times New Roman" w:eastAsia="宋体" w:hAnsi="Times New Roman" w:cs="Times New Roman"/>
          <w:szCs w:val="21"/>
        </w:rPr>
        <w:t>phreatic water</w:t>
      </w:r>
    </w:p>
    <w:p w14:paraId="4E87BB1B"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地表以下第一个稳定隔水层以上具有自由水面的地下水。</w:t>
      </w:r>
    </w:p>
    <w:p w14:paraId="4821D579" w14:textId="77777777" w:rsidR="00177B22" w:rsidRPr="004013B5" w:rsidRDefault="00664EDD" w:rsidP="00177B22">
      <w:pPr>
        <w:spacing w:beforeLines="50" w:before="156" w:afterLines="50" w:after="156"/>
        <w:rPr>
          <w:rFonts w:ascii="黑体" w:eastAsia="黑体" w:hAnsi="黑体" w:cs="Times New Roman"/>
          <w:szCs w:val="21"/>
        </w:rPr>
      </w:pPr>
      <w:r w:rsidRPr="004013B5">
        <w:rPr>
          <w:rFonts w:ascii="黑体" w:eastAsia="黑体" w:hAnsi="黑体" w:cs="Times New Roman" w:hint="eastAsia"/>
          <w:szCs w:val="21"/>
        </w:rPr>
        <w:t>3</w:t>
      </w:r>
      <w:r w:rsidRPr="004013B5">
        <w:rPr>
          <w:rFonts w:ascii="黑体" w:eastAsia="黑体" w:hAnsi="黑体" w:cs="Times New Roman"/>
          <w:szCs w:val="21"/>
        </w:rPr>
        <w:t>.21</w:t>
      </w:r>
    </w:p>
    <w:p w14:paraId="5507548E" w14:textId="77777777" w:rsidR="008F6058" w:rsidRPr="004013B5" w:rsidRDefault="00664EDD" w:rsidP="00177B22">
      <w:pPr>
        <w:spacing w:beforeLines="50" w:before="156" w:afterLines="50" w:after="156"/>
        <w:ind w:firstLineChars="200" w:firstLine="420"/>
        <w:rPr>
          <w:rFonts w:ascii="Times New Roman" w:eastAsia="宋体" w:hAnsi="Times New Roman" w:cs="Times New Roman"/>
          <w:szCs w:val="21"/>
        </w:rPr>
      </w:pPr>
      <w:r w:rsidRPr="004013B5">
        <w:rPr>
          <w:rFonts w:ascii="黑体" w:eastAsia="黑体" w:hAnsi="黑体" w:cs="Times New Roman" w:hint="eastAsia"/>
          <w:szCs w:val="21"/>
        </w:rPr>
        <w:t>承压水</w:t>
      </w:r>
      <w:r w:rsidRPr="004013B5">
        <w:rPr>
          <w:rFonts w:ascii="Times New Roman" w:eastAsia="宋体" w:hAnsi="Times New Roman" w:cs="Times New Roman"/>
          <w:szCs w:val="21"/>
        </w:rPr>
        <w:t>confined water; artesian water</w:t>
      </w:r>
    </w:p>
    <w:p w14:paraId="15439E03"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充满于上下两个隔水层之间的地下水，其承受压力大于大气压力。</w:t>
      </w:r>
    </w:p>
    <w:p w14:paraId="5E118512" w14:textId="77777777" w:rsidR="00177B22" w:rsidRPr="004013B5" w:rsidRDefault="00664EDD" w:rsidP="00177B22">
      <w:pPr>
        <w:spacing w:beforeLines="50" w:before="156" w:afterLines="50" w:after="156"/>
        <w:rPr>
          <w:rFonts w:ascii="黑体" w:eastAsia="黑体" w:hAnsi="黑体" w:cs="Times New Roman"/>
          <w:szCs w:val="21"/>
        </w:rPr>
      </w:pPr>
      <w:r w:rsidRPr="004013B5">
        <w:rPr>
          <w:rFonts w:ascii="黑体" w:eastAsia="黑体" w:hAnsi="黑体" w:cs="Times New Roman" w:hint="eastAsia"/>
          <w:szCs w:val="21"/>
        </w:rPr>
        <w:t>3</w:t>
      </w:r>
      <w:r w:rsidRPr="004013B5">
        <w:rPr>
          <w:rFonts w:ascii="黑体" w:eastAsia="黑体" w:hAnsi="黑体" w:cs="Times New Roman"/>
          <w:szCs w:val="21"/>
        </w:rPr>
        <w:t>.22</w:t>
      </w:r>
    </w:p>
    <w:p w14:paraId="612AF547" w14:textId="77777777" w:rsidR="008F6058" w:rsidRPr="004013B5" w:rsidRDefault="00664EDD" w:rsidP="00177B22">
      <w:pPr>
        <w:spacing w:beforeLines="50" w:before="156" w:afterLines="50" w:after="156"/>
        <w:ind w:firstLineChars="200" w:firstLine="420"/>
        <w:rPr>
          <w:rFonts w:ascii="Times New Roman" w:eastAsia="宋体" w:hAnsi="Times New Roman" w:cs="Times New Roman"/>
          <w:szCs w:val="21"/>
        </w:rPr>
      </w:pPr>
      <w:r w:rsidRPr="004013B5">
        <w:rPr>
          <w:rFonts w:ascii="黑体" w:eastAsia="黑体" w:hAnsi="黑体" w:cs="Times New Roman" w:hint="eastAsia"/>
          <w:szCs w:val="21"/>
        </w:rPr>
        <w:t>地块概念模型</w:t>
      </w:r>
      <w:r w:rsidRPr="004013B5">
        <w:rPr>
          <w:rFonts w:ascii="Times New Roman" w:eastAsia="宋体" w:hAnsi="Times New Roman" w:cs="Times New Roman"/>
          <w:szCs w:val="21"/>
        </w:rPr>
        <w:t>conceptual site model</w:t>
      </w:r>
    </w:p>
    <w:p w14:paraId="48109AA8"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用文字、图、表等方式来综合描述污染源、污染物迁移途径、人体或生态受体接触污染介质的过程和接触方式等。</w:t>
      </w:r>
    </w:p>
    <w:p w14:paraId="4009EE28" w14:textId="77777777" w:rsidR="00177B22" w:rsidRPr="004013B5" w:rsidRDefault="00664EDD" w:rsidP="00177B22">
      <w:pPr>
        <w:spacing w:beforeLines="50" w:before="156" w:afterLines="50" w:after="156"/>
        <w:rPr>
          <w:rFonts w:ascii="黑体" w:eastAsia="黑体" w:hAnsi="黑体" w:cs="Times New Roman"/>
          <w:szCs w:val="21"/>
        </w:rPr>
      </w:pPr>
      <w:r w:rsidRPr="004013B5">
        <w:rPr>
          <w:rFonts w:ascii="黑体" w:eastAsia="黑体" w:hAnsi="黑体" w:cs="Times New Roman" w:hint="eastAsia"/>
          <w:szCs w:val="21"/>
        </w:rPr>
        <w:t>3</w:t>
      </w:r>
      <w:r w:rsidRPr="004013B5">
        <w:rPr>
          <w:rFonts w:ascii="黑体" w:eastAsia="黑体" w:hAnsi="黑体" w:cs="Times New Roman"/>
          <w:szCs w:val="21"/>
        </w:rPr>
        <w:t>.23</w:t>
      </w:r>
    </w:p>
    <w:p w14:paraId="5802472D" w14:textId="77777777" w:rsidR="008F6058" w:rsidRPr="004013B5" w:rsidRDefault="00664EDD" w:rsidP="00177B22">
      <w:pPr>
        <w:spacing w:beforeLines="50" w:before="156" w:afterLines="50" w:after="156"/>
        <w:ind w:firstLineChars="200" w:firstLine="420"/>
        <w:rPr>
          <w:rFonts w:ascii="Times New Roman" w:eastAsia="宋体" w:hAnsi="Times New Roman" w:cs="Times New Roman"/>
          <w:szCs w:val="21"/>
        </w:rPr>
      </w:pPr>
      <w:r w:rsidRPr="004013B5">
        <w:rPr>
          <w:rFonts w:ascii="黑体" w:eastAsia="黑体" w:hAnsi="黑体" w:cs="Times New Roman" w:hint="eastAsia"/>
          <w:szCs w:val="21"/>
        </w:rPr>
        <w:t>污染状况调查</w:t>
      </w:r>
      <w:r w:rsidRPr="004013B5">
        <w:rPr>
          <w:rFonts w:ascii="Times New Roman" w:eastAsia="宋体" w:hAnsi="Times New Roman" w:cs="Times New Roman"/>
          <w:szCs w:val="21"/>
        </w:rPr>
        <w:t>investigation on soil contamination</w:t>
      </w:r>
    </w:p>
    <w:p w14:paraId="6A717099"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采用系统的调查方法，确定地块是否被污染以及污染程度和范围的过程。</w:t>
      </w:r>
    </w:p>
    <w:p w14:paraId="1CF982F6" w14:textId="77777777" w:rsidR="00177B22" w:rsidRPr="004013B5" w:rsidRDefault="00664EDD" w:rsidP="00177B22">
      <w:pPr>
        <w:spacing w:beforeLines="50" w:before="156" w:afterLines="50" w:after="156"/>
        <w:rPr>
          <w:rFonts w:ascii="黑体" w:eastAsia="黑体" w:hAnsi="黑体" w:cs="Times New Roman"/>
          <w:szCs w:val="21"/>
        </w:rPr>
      </w:pPr>
      <w:r w:rsidRPr="004013B5">
        <w:rPr>
          <w:rFonts w:ascii="黑体" w:eastAsia="黑体" w:hAnsi="黑体" w:cs="Times New Roman" w:hint="eastAsia"/>
          <w:szCs w:val="21"/>
        </w:rPr>
        <w:t>3</w:t>
      </w:r>
      <w:r w:rsidRPr="004013B5">
        <w:rPr>
          <w:rFonts w:ascii="黑体" w:eastAsia="黑体" w:hAnsi="黑体" w:cs="Times New Roman"/>
          <w:szCs w:val="21"/>
        </w:rPr>
        <w:t>.24</w:t>
      </w:r>
    </w:p>
    <w:p w14:paraId="2B21E7FE" w14:textId="77777777" w:rsidR="008F6058" w:rsidRPr="004013B5" w:rsidRDefault="00664EDD" w:rsidP="00177B22">
      <w:pPr>
        <w:spacing w:beforeLines="50" w:before="156" w:afterLines="50" w:after="156"/>
        <w:ind w:firstLineChars="200" w:firstLine="420"/>
        <w:rPr>
          <w:rFonts w:ascii="Times New Roman" w:eastAsia="宋体" w:hAnsi="Times New Roman" w:cs="Times New Roman"/>
          <w:szCs w:val="21"/>
        </w:rPr>
      </w:pPr>
      <w:r w:rsidRPr="004013B5">
        <w:rPr>
          <w:rFonts w:ascii="黑体" w:eastAsia="黑体" w:hAnsi="黑体" w:cs="Times New Roman" w:hint="eastAsia"/>
          <w:szCs w:val="21"/>
        </w:rPr>
        <w:t>地块特征参数</w:t>
      </w:r>
      <w:r w:rsidRPr="004013B5">
        <w:rPr>
          <w:rFonts w:ascii="Times New Roman" w:eastAsia="宋体" w:hAnsi="Times New Roman" w:cs="Times New Roman"/>
          <w:szCs w:val="21"/>
        </w:rPr>
        <w:t>site-specific parameter</w:t>
      </w:r>
    </w:p>
    <w:p w14:paraId="4ECDBFD5"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能代表或近似反映地块现实环境条件，用来描述地块土壤、水文地质、气象等特征的参数。</w:t>
      </w:r>
    </w:p>
    <w:p w14:paraId="46452FEF" w14:textId="77777777" w:rsidR="00177B22" w:rsidRPr="004013B5" w:rsidRDefault="00664EDD" w:rsidP="00177B22">
      <w:pPr>
        <w:spacing w:beforeLines="50" w:before="156" w:afterLines="50" w:after="156"/>
        <w:rPr>
          <w:rFonts w:ascii="黑体" w:eastAsia="黑体" w:hAnsi="黑体" w:cs="Times New Roman"/>
          <w:szCs w:val="21"/>
        </w:rPr>
      </w:pPr>
      <w:r w:rsidRPr="004013B5">
        <w:rPr>
          <w:rFonts w:ascii="黑体" w:eastAsia="黑体" w:hAnsi="黑体" w:cs="Times New Roman" w:hint="eastAsia"/>
          <w:szCs w:val="21"/>
        </w:rPr>
        <w:t>3</w:t>
      </w:r>
      <w:r w:rsidRPr="004013B5">
        <w:rPr>
          <w:rFonts w:ascii="黑体" w:eastAsia="黑体" w:hAnsi="黑体" w:cs="Times New Roman"/>
          <w:szCs w:val="21"/>
        </w:rPr>
        <w:t>.25</w:t>
      </w:r>
    </w:p>
    <w:p w14:paraId="674CD0B1" w14:textId="77777777" w:rsidR="008F6058" w:rsidRPr="004013B5" w:rsidRDefault="00664EDD" w:rsidP="00177B22">
      <w:pPr>
        <w:spacing w:beforeLines="50" w:before="156" w:afterLines="50" w:after="156"/>
        <w:ind w:firstLineChars="200" w:firstLine="420"/>
        <w:rPr>
          <w:rFonts w:ascii="Times New Roman" w:eastAsia="宋体" w:hAnsi="Times New Roman" w:cs="Times New Roman"/>
          <w:szCs w:val="21"/>
        </w:rPr>
      </w:pPr>
      <w:r w:rsidRPr="004013B5">
        <w:rPr>
          <w:rFonts w:ascii="黑体" w:eastAsia="黑体" w:hAnsi="黑体" w:cs="Times New Roman" w:hint="eastAsia"/>
          <w:szCs w:val="21"/>
        </w:rPr>
        <w:t>土壤和地下水污染状况调查</w:t>
      </w:r>
      <w:r w:rsidRPr="004013B5">
        <w:rPr>
          <w:rFonts w:ascii="Times New Roman" w:eastAsia="宋体" w:hAnsi="Times New Roman" w:cs="Times New Roman"/>
          <w:szCs w:val="21"/>
        </w:rPr>
        <w:t>investigation on soil and groundwater contamination</w:t>
      </w:r>
    </w:p>
    <w:p w14:paraId="08EF1396"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采用系统的调查方法，确定地块土壤和地下水是否被污染及污染程度和范围的过程。</w:t>
      </w:r>
    </w:p>
    <w:p w14:paraId="56CF0994" w14:textId="77777777" w:rsidR="008F6058" w:rsidRPr="004013B5" w:rsidRDefault="008F6058">
      <w:pPr>
        <w:ind w:firstLineChars="200" w:firstLine="420"/>
        <w:rPr>
          <w:rFonts w:ascii="Times New Roman" w:eastAsia="宋体" w:hAnsi="Times New Roman" w:cs="Times New Roman"/>
          <w:szCs w:val="21"/>
        </w:rPr>
      </w:pPr>
    </w:p>
    <w:p w14:paraId="5FAF536C" w14:textId="77777777" w:rsidR="008F6058" w:rsidRPr="004013B5" w:rsidRDefault="00664EDD">
      <w:pPr>
        <w:spacing w:beforeLines="100" w:before="312" w:afterLines="100" w:after="312"/>
        <w:outlineLvl w:val="0"/>
        <w:rPr>
          <w:rFonts w:ascii="黑体" w:eastAsia="黑体" w:hAnsi="黑体" w:cs="Times New Roman"/>
          <w:b/>
          <w:bCs/>
          <w:szCs w:val="21"/>
        </w:rPr>
      </w:pPr>
      <w:bookmarkStart w:id="14" w:name="_Toc142689392"/>
      <w:r w:rsidRPr="004013B5">
        <w:rPr>
          <w:rFonts w:ascii="黑体" w:eastAsia="黑体" w:hAnsi="黑体" w:cs="Times New Roman"/>
          <w:b/>
          <w:bCs/>
          <w:szCs w:val="21"/>
        </w:rPr>
        <w:t>4 基本原则与工作流程</w:t>
      </w:r>
      <w:bookmarkEnd w:id="14"/>
    </w:p>
    <w:p w14:paraId="64203C36" w14:textId="77777777" w:rsidR="008F6058" w:rsidRPr="004013B5" w:rsidRDefault="00664EDD" w:rsidP="002336D1">
      <w:pPr>
        <w:spacing w:beforeLines="50" w:before="156" w:afterLines="50" w:after="156"/>
        <w:outlineLvl w:val="1"/>
        <w:rPr>
          <w:rFonts w:ascii="黑体" w:eastAsia="黑体" w:hAnsi="黑体" w:cs="Times New Roman"/>
          <w:szCs w:val="21"/>
        </w:rPr>
      </w:pPr>
      <w:bookmarkStart w:id="15" w:name="_Toc142689393"/>
      <w:r w:rsidRPr="004013B5">
        <w:rPr>
          <w:rFonts w:ascii="黑体" w:eastAsia="黑体" w:hAnsi="黑体" w:cs="Times New Roman"/>
          <w:szCs w:val="21"/>
        </w:rPr>
        <w:t>4.1 基本原则</w:t>
      </w:r>
      <w:bookmarkEnd w:id="15"/>
    </w:p>
    <w:p w14:paraId="43B2C5A0"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4.1.1</w:t>
      </w:r>
      <w:r w:rsidRPr="004013B5">
        <w:rPr>
          <w:rFonts w:ascii="Times New Roman" w:eastAsia="宋体" w:hAnsi="Times New Roman" w:cs="Times New Roman"/>
          <w:szCs w:val="21"/>
        </w:rPr>
        <w:t>规范性原则：采用程序化和系统化的方式规范有色冶炼污染场地土壤和地下水修复过程和行为，恢复场地使用功能。</w:t>
      </w:r>
    </w:p>
    <w:p w14:paraId="3C545514"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hint="eastAsia"/>
          <w:szCs w:val="21"/>
        </w:rPr>
        <w:t>4</w:t>
      </w:r>
      <w:r w:rsidRPr="004013B5">
        <w:rPr>
          <w:rFonts w:ascii="Times New Roman" w:eastAsia="宋体" w:hAnsi="Times New Roman" w:cs="Times New Roman"/>
          <w:szCs w:val="21"/>
        </w:rPr>
        <w:t>.1.2</w:t>
      </w:r>
      <w:r w:rsidRPr="004013B5">
        <w:rPr>
          <w:rFonts w:ascii="Times New Roman" w:eastAsia="宋体" w:hAnsi="Times New Roman" w:cs="Times New Roman"/>
          <w:szCs w:val="21"/>
        </w:rPr>
        <w:t>可行性原则：针对场地特征条件和健康风险综合考虑污染场地修复目标、修复技术的应用效果、修复时间、修复成本、修复工程的环境影响等因素，合理选择修复技术，科学制定修复方案，使修复工程切实可行。</w:t>
      </w:r>
    </w:p>
    <w:p w14:paraId="0A50C4D3"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hint="eastAsia"/>
          <w:szCs w:val="21"/>
        </w:rPr>
        <w:t>4</w:t>
      </w:r>
      <w:r w:rsidRPr="004013B5">
        <w:rPr>
          <w:rFonts w:ascii="Times New Roman" w:eastAsia="宋体" w:hAnsi="Times New Roman" w:cs="Times New Roman"/>
          <w:szCs w:val="21"/>
        </w:rPr>
        <w:t>.1.3</w:t>
      </w:r>
      <w:r w:rsidRPr="004013B5">
        <w:rPr>
          <w:rFonts w:ascii="Times New Roman" w:eastAsia="宋体" w:hAnsi="Times New Roman" w:cs="Times New Roman"/>
          <w:szCs w:val="21"/>
        </w:rPr>
        <w:t>安全性原则：污染场地修复工程的实施应注意施工安全和对周边环境的影响，避免对施工人员和周边人群健康产生危害。</w:t>
      </w:r>
    </w:p>
    <w:p w14:paraId="579B7CFC" w14:textId="26FF26E5"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hint="eastAsia"/>
          <w:szCs w:val="21"/>
        </w:rPr>
        <w:t>4</w:t>
      </w:r>
      <w:r w:rsidRPr="004013B5">
        <w:rPr>
          <w:rFonts w:ascii="Times New Roman" w:eastAsia="宋体" w:hAnsi="Times New Roman" w:cs="Times New Roman"/>
          <w:szCs w:val="21"/>
        </w:rPr>
        <w:t xml:space="preserve">.1.4 </w:t>
      </w:r>
      <w:r w:rsidRPr="004013B5">
        <w:rPr>
          <w:rFonts w:ascii="Times New Roman" w:eastAsia="宋体" w:hAnsi="Times New Roman" w:cs="Times New Roman" w:hint="eastAsia"/>
          <w:szCs w:val="21"/>
        </w:rPr>
        <w:t>技术协同性原则：</w:t>
      </w:r>
      <w:r w:rsidR="006B1AA6">
        <w:rPr>
          <w:rFonts w:ascii="Times New Roman" w:eastAsia="宋体" w:hAnsi="Times New Roman" w:cs="Times New Roman" w:hint="eastAsia"/>
          <w:szCs w:val="21"/>
        </w:rPr>
        <w:t>有色金属冶炼场地土壤</w:t>
      </w:r>
      <w:r w:rsidR="006B1AA6">
        <w:rPr>
          <w:rFonts w:ascii="Times New Roman" w:eastAsia="宋体" w:hAnsi="Times New Roman" w:cs="Times New Roman" w:hint="eastAsia"/>
          <w:szCs w:val="21"/>
        </w:rPr>
        <w:t>-</w:t>
      </w:r>
      <w:r w:rsidR="006B1AA6">
        <w:rPr>
          <w:rFonts w:ascii="Times New Roman" w:eastAsia="宋体" w:hAnsi="Times New Roman" w:cs="Times New Roman" w:hint="eastAsia"/>
          <w:szCs w:val="21"/>
        </w:rPr>
        <w:t>地下水</w:t>
      </w:r>
      <w:r w:rsidRPr="004013B5">
        <w:rPr>
          <w:rFonts w:ascii="Times New Roman" w:eastAsia="宋体" w:hAnsi="Times New Roman" w:cs="Times New Roman"/>
          <w:szCs w:val="21"/>
        </w:rPr>
        <w:t>重金属修复的目的是采用协同化的场地修复技术，转移、吸收、转化或去除场地土壤和地下水中的重金属污染物，或阻断重金属污染物对受体的暴露途径，使场地对暴露人群的健康风险控制在可接受水平，从而恢复场地使用功能，保证场地二次开发利用的安全性。</w:t>
      </w:r>
    </w:p>
    <w:p w14:paraId="1B07C320" w14:textId="77777777" w:rsidR="008F6058" w:rsidRPr="004013B5" w:rsidRDefault="00664EDD" w:rsidP="002336D1">
      <w:pPr>
        <w:spacing w:beforeLines="50" w:before="156" w:afterLines="50" w:after="156"/>
        <w:outlineLvl w:val="1"/>
        <w:rPr>
          <w:rFonts w:ascii="黑体" w:eastAsia="黑体" w:hAnsi="黑体" w:cs="Times New Roman"/>
          <w:szCs w:val="21"/>
        </w:rPr>
      </w:pPr>
      <w:bookmarkStart w:id="16" w:name="_Toc142689394"/>
      <w:r w:rsidRPr="004013B5">
        <w:rPr>
          <w:rFonts w:ascii="黑体" w:eastAsia="黑体" w:hAnsi="黑体" w:cs="Times New Roman"/>
          <w:szCs w:val="21"/>
        </w:rPr>
        <w:lastRenderedPageBreak/>
        <w:t>4.2 工作流程</w:t>
      </w:r>
      <w:bookmarkEnd w:id="16"/>
    </w:p>
    <w:p w14:paraId="7D3D8A9F" w14:textId="77777777" w:rsidR="008F6058" w:rsidRPr="004013B5" w:rsidRDefault="00664EDD" w:rsidP="002B26B6">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有色冶炼场地修复的可行性研究工作按照图</w:t>
      </w:r>
      <w:r w:rsidRPr="004013B5">
        <w:rPr>
          <w:rFonts w:ascii="Times New Roman" w:eastAsia="宋体" w:hAnsi="Times New Roman" w:cs="Times New Roman"/>
          <w:szCs w:val="21"/>
        </w:rPr>
        <w:t xml:space="preserve"> 1 </w:t>
      </w:r>
      <w:r w:rsidRPr="004013B5">
        <w:rPr>
          <w:rFonts w:ascii="Times New Roman" w:eastAsia="宋体" w:hAnsi="Times New Roman" w:cs="Times New Roman"/>
          <w:szCs w:val="21"/>
        </w:rPr>
        <w:t>规定的程序进行，内容包括场地污染特征刻画、污染分级分区治理、土壤</w:t>
      </w:r>
      <w:r w:rsidRPr="004013B5">
        <w:rPr>
          <w:rFonts w:ascii="Times New Roman" w:eastAsia="宋体" w:hAnsi="Times New Roman" w:cs="Times New Roman"/>
          <w:szCs w:val="21"/>
        </w:rPr>
        <w:t>-</w:t>
      </w:r>
      <w:r w:rsidRPr="004013B5">
        <w:rPr>
          <w:rFonts w:ascii="Times New Roman" w:eastAsia="宋体" w:hAnsi="Times New Roman" w:cs="Times New Roman"/>
          <w:szCs w:val="21"/>
        </w:rPr>
        <w:t>地下水迁移规律、</w:t>
      </w:r>
      <w:bookmarkStart w:id="17" w:name="_Hlk141387569"/>
      <w:r w:rsidRPr="004013B5">
        <w:rPr>
          <w:rFonts w:ascii="Times New Roman" w:eastAsia="宋体" w:hAnsi="Times New Roman" w:cs="Times New Roman"/>
          <w:szCs w:val="21"/>
        </w:rPr>
        <w:t>制定协同修复策略</w:t>
      </w:r>
      <w:bookmarkEnd w:id="17"/>
      <w:r w:rsidRPr="004013B5">
        <w:rPr>
          <w:rFonts w:ascii="Times New Roman" w:eastAsia="宋体" w:hAnsi="Times New Roman" w:cs="Times New Roman"/>
          <w:szCs w:val="21"/>
        </w:rPr>
        <w:t>、</w:t>
      </w:r>
      <w:bookmarkStart w:id="18" w:name="_Hlk141387641"/>
      <w:r w:rsidRPr="004013B5">
        <w:rPr>
          <w:rFonts w:ascii="Times New Roman" w:eastAsia="宋体" w:hAnsi="Times New Roman" w:cs="Times New Roman"/>
          <w:szCs w:val="21"/>
        </w:rPr>
        <w:t>协同修复技术比选</w:t>
      </w:r>
      <w:bookmarkEnd w:id="18"/>
      <w:r w:rsidRPr="004013B5">
        <w:rPr>
          <w:rFonts w:ascii="Times New Roman" w:eastAsia="宋体" w:hAnsi="Times New Roman" w:cs="Times New Roman"/>
          <w:szCs w:val="21"/>
        </w:rPr>
        <w:t>、集成修复技术、</w:t>
      </w:r>
      <w:bookmarkStart w:id="19" w:name="_Hlk141387818"/>
      <w:r w:rsidRPr="004013B5">
        <w:rPr>
          <w:rFonts w:ascii="Times New Roman" w:eastAsia="宋体" w:hAnsi="Times New Roman" w:cs="Times New Roman"/>
          <w:szCs w:val="21"/>
        </w:rPr>
        <w:t>制定修复技术方案</w:t>
      </w:r>
      <w:bookmarkEnd w:id="19"/>
      <w:r w:rsidRPr="004013B5">
        <w:rPr>
          <w:rFonts w:ascii="Times New Roman" w:eastAsia="宋体" w:hAnsi="Times New Roman" w:cs="Times New Roman"/>
          <w:szCs w:val="21"/>
        </w:rPr>
        <w:t>和</w:t>
      </w:r>
      <w:bookmarkStart w:id="20" w:name="_Hlk141387881"/>
      <w:r w:rsidRPr="004013B5">
        <w:rPr>
          <w:rFonts w:ascii="Times New Roman" w:eastAsia="宋体" w:hAnsi="Times New Roman" w:cs="Times New Roman"/>
          <w:szCs w:val="21"/>
        </w:rPr>
        <w:t>制定环境管理计划</w:t>
      </w:r>
      <w:bookmarkEnd w:id="20"/>
      <w:r w:rsidRPr="004013B5">
        <w:rPr>
          <w:rFonts w:ascii="Times New Roman" w:eastAsia="宋体" w:hAnsi="Times New Roman" w:cs="Times New Roman"/>
          <w:szCs w:val="21"/>
        </w:rPr>
        <w:t>八个部分。</w:t>
      </w:r>
    </w:p>
    <w:p w14:paraId="3CFBF344"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hint="eastAsia"/>
          <w:szCs w:val="21"/>
        </w:rPr>
        <w:t>4</w:t>
      </w:r>
      <w:r w:rsidRPr="004013B5">
        <w:rPr>
          <w:rFonts w:ascii="Times New Roman" w:eastAsia="宋体" w:hAnsi="Times New Roman" w:cs="Times New Roman"/>
          <w:szCs w:val="21"/>
        </w:rPr>
        <w:t>.2.1</w:t>
      </w:r>
      <w:r w:rsidRPr="004013B5">
        <w:rPr>
          <w:rFonts w:ascii="Times New Roman" w:eastAsia="宋体" w:hAnsi="Times New Roman" w:cs="Times New Roman"/>
          <w:szCs w:val="21"/>
        </w:rPr>
        <w:t>场地污染特征刻画，</w:t>
      </w:r>
      <w:r w:rsidRPr="004013B5">
        <w:rPr>
          <w:rFonts w:ascii="Times New Roman" w:eastAsia="宋体" w:hAnsi="Times New Roman" w:cs="Times New Roman" w:hint="eastAsia"/>
          <w:szCs w:val="21"/>
        </w:rPr>
        <w:t>基于场地污染调查、水文地质勘查结果，通过三维表征技术实现污染分布、污染羽、污染范围和污染程度的精细刻画。</w:t>
      </w:r>
    </w:p>
    <w:p w14:paraId="28B05B22"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hint="eastAsia"/>
          <w:szCs w:val="21"/>
        </w:rPr>
        <w:t>4</w:t>
      </w:r>
      <w:r w:rsidRPr="004013B5">
        <w:rPr>
          <w:rFonts w:ascii="Times New Roman" w:eastAsia="宋体" w:hAnsi="Times New Roman" w:cs="Times New Roman"/>
          <w:szCs w:val="21"/>
        </w:rPr>
        <w:t xml:space="preserve">.2.2 </w:t>
      </w:r>
      <w:r w:rsidRPr="004013B5">
        <w:rPr>
          <w:rFonts w:ascii="Times New Roman" w:eastAsia="宋体" w:hAnsi="Times New Roman" w:cs="Times New Roman" w:hint="eastAsia"/>
          <w:szCs w:val="21"/>
        </w:rPr>
        <w:t>污染分级分区治理，建立了有色冶炼场地土壤重金属污染分级评价和相应的分级治理方案，</w:t>
      </w:r>
      <w:r w:rsidRPr="004013B5">
        <w:rPr>
          <w:rFonts w:ascii="Times New Roman" w:eastAsia="宋体" w:hAnsi="Times New Roman" w:cs="Times New Roman"/>
          <w:szCs w:val="21"/>
        </w:rPr>
        <w:t>进一步精细化支撑修复工程实施。</w:t>
      </w:r>
    </w:p>
    <w:p w14:paraId="10A5029E"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hint="eastAsia"/>
          <w:szCs w:val="21"/>
        </w:rPr>
        <w:t>4</w:t>
      </w:r>
      <w:r w:rsidRPr="004013B5">
        <w:rPr>
          <w:rFonts w:ascii="Times New Roman" w:eastAsia="宋体" w:hAnsi="Times New Roman" w:cs="Times New Roman"/>
          <w:szCs w:val="21"/>
        </w:rPr>
        <w:t xml:space="preserve">.2.3 </w:t>
      </w:r>
      <w:r w:rsidRPr="004013B5">
        <w:rPr>
          <w:rFonts w:ascii="Times New Roman" w:eastAsia="宋体" w:hAnsi="Times New Roman" w:cs="Times New Roman"/>
          <w:szCs w:val="21"/>
        </w:rPr>
        <w:t>土壤</w:t>
      </w:r>
      <w:r w:rsidRPr="004013B5">
        <w:rPr>
          <w:rFonts w:ascii="Times New Roman" w:eastAsia="宋体" w:hAnsi="Times New Roman" w:cs="Times New Roman"/>
          <w:szCs w:val="21"/>
        </w:rPr>
        <w:t>-</w:t>
      </w:r>
      <w:r w:rsidRPr="004013B5">
        <w:rPr>
          <w:rFonts w:ascii="Times New Roman" w:eastAsia="宋体" w:hAnsi="Times New Roman" w:cs="Times New Roman"/>
          <w:szCs w:val="21"/>
        </w:rPr>
        <w:t>地下水迁移规律，</w:t>
      </w:r>
      <w:r w:rsidRPr="004013B5">
        <w:rPr>
          <w:rFonts w:ascii="Times New Roman" w:eastAsia="宋体" w:hAnsi="Times New Roman" w:cs="Times New Roman" w:hint="eastAsia"/>
          <w:szCs w:val="21"/>
        </w:rPr>
        <w:t>厘清场地重金属污染在包气带中迁移规律，是实现污染趋势预测的关键，也是确定土壤</w:t>
      </w:r>
      <w:r w:rsidRPr="004013B5">
        <w:rPr>
          <w:rFonts w:ascii="Times New Roman" w:eastAsia="宋体" w:hAnsi="Times New Roman" w:cs="Times New Roman"/>
          <w:szCs w:val="21"/>
        </w:rPr>
        <w:t>-</w:t>
      </w:r>
      <w:r w:rsidRPr="004013B5">
        <w:rPr>
          <w:rFonts w:ascii="Times New Roman" w:eastAsia="宋体" w:hAnsi="Times New Roman" w:cs="Times New Roman"/>
          <w:szCs w:val="21"/>
        </w:rPr>
        <w:t>地下水协同修复技术的关键。</w:t>
      </w:r>
    </w:p>
    <w:p w14:paraId="25622404"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hint="eastAsia"/>
          <w:szCs w:val="21"/>
        </w:rPr>
        <w:t>4</w:t>
      </w:r>
      <w:r w:rsidRPr="004013B5">
        <w:rPr>
          <w:rFonts w:ascii="Times New Roman" w:eastAsia="宋体" w:hAnsi="Times New Roman" w:cs="Times New Roman"/>
          <w:szCs w:val="21"/>
        </w:rPr>
        <w:t xml:space="preserve">.2.4 </w:t>
      </w:r>
      <w:r w:rsidRPr="004013B5">
        <w:rPr>
          <w:rFonts w:ascii="Times New Roman" w:eastAsia="宋体" w:hAnsi="Times New Roman" w:cs="Times New Roman" w:hint="eastAsia"/>
          <w:szCs w:val="21"/>
        </w:rPr>
        <w:t>制定协同修复策略，地修复策略是指以风险管理为核心，注重土壤和地下水协同，确保污染造成的健康和生态风险控制在可接受范围内。</w:t>
      </w:r>
    </w:p>
    <w:p w14:paraId="410C8545"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 xml:space="preserve">4.2.5 </w:t>
      </w:r>
      <w:r w:rsidRPr="004013B5">
        <w:rPr>
          <w:rFonts w:ascii="Times New Roman" w:eastAsia="宋体" w:hAnsi="Times New Roman" w:cs="Times New Roman" w:hint="eastAsia"/>
          <w:szCs w:val="21"/>
        </w:rPr>
        <w:t>协同修复技术比选，针对确认的污染物类型和污染物特性，根据上一阶段确定的修复策略，确定协同修复技术类型。</w:t>
      </w:r>
    </w:p>
    <w:p w14:paraId="18617D6A"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hint="eastAsia"/>
          <w:szCs w:val="21"/>
        </w:rPr>
        <w:t>4</w:t>
      </w:r>
      <w:r w:rsidRPr="004013B5">
        <w:rPr>
          <w:rFonts w:ascii="Times New Roman" w:eastAsia="宋体" w:hAnsi="Times New Roman" w:cs="Times New Roman"/>
          <w:szCs w:val="21"/>
        </w:rPr>
        <w:t xml:space="preserve">.2.6 </w:t>
      </w:r>
      <w:r w:rsidRPr="004013B5">
        <w:rPr>
          <w:rFonts w:ascii="Times New Roman" w:eastAsia="宋体" w:hAnsi="Times New Roman" w:cs="Times New Roman" w:hint="eastAsia"/>
          <w:szCs w:val="21"/>
        </w:rPr>
        <w:t>集成修复技术，开展多技术协同修复效果预测，多修复技术耦合效果研究，提高多修复技术集成功效。</w:t>
      </w:r>
    </w:p>
    <w:p w14:paraId="6F14FAB6"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hint="eastAsia"/>
          <w:szCs w:val="21"/>
        </w:rPr>
        <w:t>4</w:t>
      </w:r>
      <w:r w:rsidRPr="004013B5">
        <w:rPr>
          <w:rFonts w:ascii="Times New Roman" w:eastAsia="宋体" w:hAnsi="Times New Roman" w:cs="Times New Roman"/>
          <w:szCs w:val="21"/>
        </w:rPr>
        <w:t xml:space="preserve">.2.7 </w:t>
      </w:r>
      <w:r w:rsidRPr="004013B5">
        <w:rPr>
          <w:rFonts w:ascii="Times New Roman" w:eastAsia="宋体" w:hAnsi="Times New Roman" w:cs="Times New Roman" w:hint="eastAsia"/>
          <w:szCs w:val="21"/>
        </w:rPr>
        <w:t>制定修复技术方案，根据确定的修复技术和场地暴露情景制定详细的污染场地修复技术方案，包括确定修复技术的集成和工艺参数、估算理论土方量、分析成本—效益和环境影响等。</w:t>
      </w:r>
    </w:p>
    <w:p w14:paraId="12E30298" w14:textId="77777777" w:rsidR="008F6058" w:rsidRPr="004013B5" w:rsidRDefault="00177B22">
      <w:pPr>
        <w:rPr>
          <w:rFonts w:ascii="Times New Roman" w:eastAsia="宋体" w:hAnsi="Times New Roman" w:cs="Times New Roman"/>
          <w:szCs w:val="21"/>
        </w:rPr>
      </w:pPr>
      <w:r w:rsidRPr="004013B5">
        <w:rPr>
          <w:rFonts w:ascii="Times New Roman" w:eastAsia="仿宋_GB2312" w:hAnsi="Times New Roman" w:cs="Times New Roman"/>
          <w:noProof/>
          <w:sz w:val="32"/>
          <w:szCs w:val="32"/>
        </w:rPr>
        <w:lastRenderedPageBreak/>
        <w:drawing>
          <wp:anchor distT="0" distB="0" distL="114300" distR="114300" simplePos="0" relativeHeight="251660288" behindDoc="0" locked="0" layoutInCell="1" allowOverlap="1" wp14:anchorId="74BF608B" wp14:editId="6CE7A363">
            <wp:simplePos x="0" y="0"/>
            <wp:positionH relativeFrom="column">
              <wp:posOffset>535940</wp:posOffset>
            </wp:positionH>
            <wp:positionV relativeFrom="paragraph">
              <wp:posOffset>482600</wp:posOffset>
            </wp:positionV>
            <wp:extent cx="4744085" cy="6709410"/>
            <wp:effectExtent l="0" t="0" r="0" b="0"/>
            <wp:wrapTopAndBottom/>
            <wp:docPr id="2"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67"/>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744085" cy="6709410"/>
                    </a:xfrm>
                    <a:prstGeom prst="rect">
                      <a:avLst/>
                    </a:prstGeom>
                  </pic:spPr>
                </pic:pic>
              </a:graphicData>
            </a:graphic>
            <wp14:sizeRelH relativeFrom="margin">
              <wp14:pctWidth>0</wp14:pctWidth>
            </wp14:sizeRelH>
            <wp14:sizeRelV relativeFrom="margin">
              <wp14:pctHeight>0</wp14:pctHeight>
            </wp14:sizeRelV>
          </wp:anchor>
        </w:drawing>
      </w:r>
      <w:r w:rsidRPr="004013B5">
        <w:rPr>
          <w:rFonts w:ascii="Times New Roman" w:eastAsia="宋体" w:hAnsi="Times New Roman" w:cs="Times New Roman" w:hint="eastAsia"/>
          <w:szCs w:val="21"/>
        </w:rPr>
        <w:t>4</w:t>
      </w:r>
      <w:r w:rsidRPr="004013B5">
        <w:rPr>
          <w:rFonts w:ascii="Times New Roman" w:eastAsia="宋体" w:hAnsi="Times New Roman" w:cs="Times New Roman"/>
          <w:szCs w:val="21"/>
        </w:rPr>
        <w:t xml:space="preserve">.2.8 </w:t>
      </w:r>
      <w:r w:rsidRPr="004013B5">
        <w:rPr>
          <w:rFonts w:ascii="Times New Roman" w:eastAsia="宋体" w:hAnsi="Times New Roman" w:cs="Times New Roman" w:hint="eastAsia"/>
          <w:szCs w:val="21"/>
        </w:rPr>
        <w:t>制定环境管理计划，地块土壤修复工程环境管理计划包括修复工程环境监测计划和环境应急安全计划。</w:t>
      </w:r>
    </w:p>
    <w:p w14:paraId="29E7390B" w14:textId="507FF5E6" w:rsidR="008F6058" w:rsidRPr="004013B5" w:rsidRDefault="00664EDD">
      <w:pPr>
        <w:jc w:val="center"/>
        <w:rPr>
          <w:rFonts w:ascii="Times New Roman" w:eastAsia="宋体" w:hAnsi="Times New Roman" w:cs="Times New Roman"/>
          <w:szCs w:val="21"/>
        </w:rPr>
      </w:pPr>
      <w:r w:rsidRPr="004013B5">
        <w:rPr>
          <w:rFonts w:ascii="Times New Roman" w:eastAsia="宋体" w:hAnsi="Times New Roman" w:cs="Times New Roman" w:hint="eastAsia"/>
          <w:szCs w:val="21"/>
        </w:rPr>
        <w:t>图</w:t>
      </w:r>
      <w:r w:rsidRPr="004013B5">
        <w:rPr>
          <w:rFonts w:ascii="Times New Roman" w:eastAsia="宋体" w:hAnsi="Times New Roman" w:cs="Times New Roman"/>
          <w:szCs w:val="21"/>
        </w:rPr>
        <w:t xml:space="preserve"> 1 </w:t>
      </w:r>
      <w:r w:rsidR="006B1AA6">
        <w:rPr>
          <w:rFonts w:ascii="Times New Roman" w:eastAsia="宋体" w:hAnsi="Times New Roman" w:cs="Times New Roman"/>
          <w:szCs w:val="21"/>
        </w:rPr>
        <w:t>有色金属冶炼场地土壤</w:t>
      </w:r>
      <w:r w:rsidR="006B1AA6">
        <w:rPr>
          <w:rFonts w:ascii="Times New Roman" w:eastAsia="宋体" w:hAnsi="Times New Roman" w:cs="Times New Roman"/>
          <w:szCs w:val="21"/>
        </w:rPr>
        <w:t>-</w:t>
      </w:r>
      <w:r w:rsidR="006B1AA6">
        <w:rPr>
          <w:rFonts w:ascii="Times New Roman" w:eastAsia="宋体" w:hAnsi="Times New Roman" w:cs="Times New Roman"/>
          <w:szCs w:val="21"/>
        </w:rPr>
        <w:t>地下水</w:t>
      </w:r>
      <w:r w:rsidRPr="004013B5">
        <w:rPr>
          <w:rFonts w:ascii="Times New Roman" w:eastAsia="宋体" w:hAnsi="Times New Roman" w:cs="Times New Roman"/>
          <w:szCs w:val="21"/>
        </w:rPr>
        <w:t>协同修复工作</w:t>
      </w:r>
      <w:r w:rsidRPr="004013B5">
        <w:rPr>
          <w:rFonts w:ascii="Times New Roman" w:eastAsia="宋体" w:hAnsi="Times New Roman" w:cs="Times New Roman" w:hint="eastAsia"/>
          <w:szCs w:val="21"/>
        </w:rPr>
        <w:t>程序</w:t>
      </w:r>
    </w:p>
    <w:p w14:paraId="26841AD6" w14:textId="77777777" w:rsidR="008F6058" w:rsidRPr="004013B5" w:rsidRDefault="00664EDD">
      <w:pPr>
        <w:spacing w:beforeLines="100" w:before="312" w:afterLines="100" w:after="312"/>
        <w:outlineLvl w:val="0"/>
        <w:rPr>
          <w:rFonts w:ascii="黑体" w:eastAsia="黑体" w:hAnsi="黑体" w:cs="Times New Roman"/>
          <w:b/>
          <w:bCs/>
          <w:szCs w:val="21"/>
        </w:rPr>
      </w:pPr>
      <w:bookmarkStart w:id="21" w:name="_Toc142689395"/>
      <w:r w:rsidRPr="004013B5">
        <w:rPr>
          <w:rFonts w:ascii="黑体" w:eastAsia="黑体" w:hAnsi="黑体" w:cs="Times New Roman"/>
          <w:b/>
          <w:bCs/>
          <w:szCs w:val="21"/>
        </w:rPr>
        <w:t xml:space="preserve">5 </w:t>
      </w:r>
      <w:r w:rsidRPr="004013B5">
        <w:rPr>
          <w:rFonts w:ascii="黑体" w:eastAsia="黑体" w:hAnsi="黑体" w:cs="Times New Roman" w:hint="eastAsia"/>
          <w:b/>
          <w:bCs/>
          <w:szCs w:val="21"/>
        </w:rPr>
        <w:t>场地污染特征刻画</w:t>
      </w:r>
      <w:bookmarkEnd w:id="21"/>
    </w:p>
    <w:p w14:paraId="3506544B" w14:textId="77777777" w:rsidR="008F6058" w:rsidRPr="004013B5" w:rsidRDefault="00664EDD" w:rsidP="002336D1">
      <w:pPr>
        <w:spacing w:beforeLines="50" w:before="156" w:afterLines="50" w:after="156"/>
        <w:outlineLvl w:val="1"/>
        <w:rPr>
          <w:rFonts w:ascii="黑体" w:eastAsia="黑体" w:hAnsi="黑体" w:cs="Times New Roman"/>
          <w:szCs w:val="21"/>
        </w:rPr>
      </w:pPr>
      <w:bookmarkStart w:id="22" w:name="_Toc142689396"/>
      <w:r w:rsidRPr="004013B5">
        <w:rPr>
          <w:rFonts w:ascii="黑体" w:eastAsia="黑体" w:hAnsi="黑体" w:cs="Times New Roman"/>
          <w:szCs w:val="21"/>
        </w:rPr>
        <w:t xml:space="preserve">5.1 </w:t>
      </w:r>
      <w:r w:rsidRPr="004013B5">
        <w:rPr>
          <w:rFonts w:ascii="黑体" w:eastAsia="黑体" w:hAnsi="黑体" w:cs="Times New Roman" w:hint="eastAsia"/>
          <w:szCs w:val="21"/>
        </w:rPr>
        <w:t>场地调查</w:t>
      </w:r>
      <w:bookmarkEnd w:id="22"/>
    </w:p>
    <w:p w14:paraId="4EDC7ED6"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土壤和地下水污染状况调查</w:t>
      </w:r>
      <w:r w:rsidR="007034F4" w:rsidRPr="004013B5">
        <w:rPr>
          <w:rFonts w:ascii="Times New Roman" w:eastAsia="宋体" w:hAnsi="Times New Roman" w:cs="Times New Roman" w:hint="eastAsia"/>
          <w:szCs w:val="21"/>
        </w:rPr>
        <w:t>，按照</w:t>
      </w:r>
      <w:r w:rsidR="007034F4" w:rsidRPr="004013B5">
        <w:rPr>
          <w:rFonts w:ascii="Times New Roman" w:eastAsia="宋体" w:hAnsi="Times New Roman" w:cs="Times New Roman" w:hint="eastAsia"/>
          <w:szCs w:val="21"/>
        </w:rPr>
        <w:t>H</w:t>
      </w:r>
      <w:r w:rsidR="007034F4" w:rsidRPr="004013B5">
        <w:rPr>
          <w:rFonts w:ascii="Times New Roman" w:eastAsia="宋体" w:hAnsi="Times New Roman" w:cs="Times New Roman"/>
          <w:szCs w:val="21"/>
        </w:rPr>
        <w:t>J25.1</w:t>
      </w:r>
      <w:r w:rsidR="007034F4" w:rsidRPr="004013B5">
        <w:rPr>
          <w:rFonts w:ascii="Times New Roman" w:eastAsia="宋体" w:hAnsi="Times New Roman" w:cs="Times New Roman" w:hint="eastAsia"/>
          <w:szCs w:val="21"/>
        </w:rPr>
        <w:t>要求执行，</w:t>
      </w:r>
      <w:r w:rsidRPr="004013B5">
        <w:rPr>
          <w:rFonts w:ascii="Times New Roman" w:eastAsia="宋体" w:hAnsi="Times New Roman" w:cs="Times New Roman" w:hint="eastAsia"/>
          <w:szCs w:val="21"/>
        </w:rPr>
        <w:t>可分为三个阶段，调查的工作程序如图</w:t>
      </w:r>
      <w:r w:rsidRPr="004013B5">
        <w:rPr>
          <w:rFonts w:ascii="Times New Roman" w:eastAsia="宋体" w:hAnsi="Times New Roman" w:cs="Times New Roman"/>
          <w:szCs w:val="21"/>
        </w:rPr>
        <w:t>2</w:t>
      </w:r>
      <w:r w:rsidRPr="004013B5">
        <w:rPr>
          <w:rFonts w:ascii="Times New Roman" w:eastAsia="宋体" w:hAnsi="Times New Roman" w:cs="Times New Roman"/>
          <w:szCs w:val="21"/>
        </w:rPr>
        <w:t>所示</w:t>
      </w:r>
      <w:r w:rsidR="007034F4" w:rsidRPr="004013B5">
        <w:rPr>
          <w:rFonts w:ascii="Times New Roman" w:eastAsia="宋体" w:hAnsi="Times New Roman" w:cs="Times New Roman" w:hint="eastAsia"/>
          <w:szCs w:val="21"/>
        </w:rPr>
        <w:t>。</w:t>
      </w:r>
    </w:p>
    <w:p w14:paraId="7BFABD6B"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5.1.1</w:t>
      </w:r>
      <w:r w:rsidRPr="004013B5">
        <w:rPr>
          <w:rFonts w:ascii="Times New Roman" w:eastAsia="宋体" w:hAnsi="Times New Roman" w:cs="Times New Roman" w:hint="eastAsia"/>
          <w:szCs w:val="21"/>
        </w:rPr>
        <w:t>第一阶段土壤和地下水污染状况调查</w:t>
      </w:r>
    </w:p>
    <w:p w14:paraId="5D419E5E"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第一阶段土壤污染状况调查是以资料收集、现场踏勘和人员访谈为主的污染识别阶段，原则上不进行现场采样分析。若第一阶段调查确认地块内及周围区域当前和历史上均无可能的污染源，则认为地块</w:t>
      </w:r>
      <w:r w:rsidRPr="004013B5">
        <w:rPr>
          <w:rFonts w:ascii="Times New Roman" w:eastAsia="宋体" w:hAnsi="Times New Roman" w:cs="Times New Roman" w:hint="eastAsia"/>
          <w:szCs w:val="21"/>
        </w:rPr>
        <w:lastRenderedPageBreak/>
        <w:t>的环境状况可以接受，调查活动可以结束。</w:t>
      </w:r>
    </w:p>
    <w:p w14:paraId="39655696"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5.1.2</w:t>
      </w:r>
      <w:r w:rsidRPr="004013B5">
        <w:rPr>
          <w:rFonts w:ascii="Times New Roman" w:eastAsia="宋体" w:hAnsi="Times New Roman" w:cs="Times New Roman"/>
          <w:szCs w:val="21"/>
        </w:rPr>
        <w:t>第二阶段土壤和地下水污染状况调查</w:t>
      </w:r>
    </w:p>
    <w:p w14:paraId="7FB79B8B"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第二阶段土壤污染状况调查是以采样与分析为主的污染证实阶段。若第一阶段土壤污染状况调查表明地块内或周围区域存在可能的污染源，如冶炼生产设施、生产及排污管道、冶炼废渣堆存区域、原料堆存区域、历史上可能发生冶炼废渣埋藏的地块、固体废物处理等可能产生有毒有害物质的设施或区域；以及由于资料缺失等原因造成无法排除地块内外存在污染源时，进行第二阶段土壤污染状况调查，确定污染物种类、浓度（程度）和空间分布。</w:t>
      </w:r>
    </w:p>
    <w:p w14:paraId="41D728A5" w14:textId="3CB41828"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5.1.3</w:t>
      </w:r>
      <w:r w:rsidRPr="004013B5">
        <w:rPr>
          <w:rFonts w:ascii="Times New Roman" w:eastAsia="宋体" w:hAnsi="Times New Roman" w:cs="Times New Roman"/>
          <w:szCs w:val="21"/>
        </w:rPr>
        <w:t>第三阶段土壤和地下水污染状况调查</w:t>
      </w:r>
    </w:p>
    <w:p w14:paraId="763F133C" w14:textId="5D82748C" w:rsidR="008F6058" w:rsidRPr="004013B5" w:rsidRDefault="00664EDD">
      <w:pPr>
        <w:ind w:firstLineChars="200" w:firstLine="420"/>
        <w:rPr>
          <w:rFonts w:ascii="Times New Roman" w:eastAsia="宋体" w:hAnsi="Times New Roman" w:cs="Times New Roman"/>
          <w:szCs w:val="21"/>
        </w:rPr>
      </w:pPr>
      <w:r w:rsidRPr="004013B5">
        <w:rPr>
          <w:noProof/>
        </w:rPr>
        <w:drawing>
          <wp:anchor distT="0" distB="0" distL="114300" distR="114300" simplePos="0" relativeHeight="251661312" behindDoc="0" locked="0" layoutInCell="1" allowOverlap="1" wp14:anchorId="0D740694" wp14:editId="7AF46622">
            <wp:simplePos x="0" y="0"/>
            <wp:positionH relativeFrom="column">
              <wp:posOffset>887095</wp:posOffset>
            </wp:positionH>
            <wp:positionV relativeFrom="paragraph">
              <wp:posOffset>642620</wp:posOffset>
            </wp:positionV>
            <wp:extent cx="4145280" cy="5513070"/>
            <wp:effectExtent l="0" t="0" r="7620" b="0"/>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4145280" cy="5513070"/>
                    </a:xfrm>
                    <a:prstGeom prst="rect">
                      <a:avLst/>
                    </a:prstGeom>
                  </pic:spPr>
                </pic:pic>
              </a:graphicData>
            </a:graphic>
            <wp14:sizeRelH relativeFrom="margin">
              <wp14:pctWidth>0</wp14:pctWidth>
            </wp14:sizeRelH>
            <wp14:sizeRelV relativeFrom="margin">
              <wp14:pctHeight>0</wp14:pctHeight>
            </wp14:sizeRelV>
          </wp:anchor>
        </w:drawing>
      </w:r>
      <w:r w:rsidRPr="004013B5">
        <w:rPr>
          <w:rFonts w:ascii="Times New Roman" w:eastAsia="宋体" w:hAnsi="Times New Roman" w:cs="Times New Roman" w:hint="eastAsia"/>
          <w:szCs w:val="21"/>
        </w:rPr>
        <w:t>第三阶段土壤污染状况调查以补充采样和测试为主，主要针对第二阶段调查过程中发现的重度污染区域，并获得满足风险评估及土壤和地下水修复所需的参数。本阶段的调查工作可单独进行，也可在第二阶段调查过程中同时开展。</w:t>
      </w:r>
    </w:p>
    <w:p w14:paraId="6CD1E812" w14:textId="77777777" w:rsidR="008F6058" w:rsidRPr="004013B5" w:rsidRDefault="00664EDD">
      <w:pPr>
        <w:ind w:firstLineChars="200" w:firstLine="420"/>
        <w:jc w:val="center"/>
        <w:rPr>
          <w:rFonts w:ascii="Times New Roman" w:eastAsia="宋体" w:hAnsi="Times New Roman" w:cs="Times New Roman"/>
          <w:szCs w:val="21"/>
        </w:rPr>
      </w:pPr>
      <w:r w:rsidRPr="004013B5">
        <w:rPr>
          <w:rFonts w:ascii="Times New Roman" w:eastAsia="宋体" w:hAnsi="Times New Roman" w:cs="Times New Roman" w:hint="eastAsia"/>
          <w:szCs w:val="21"/>
        </w:rPr>
        <w:t>图</w:t>
      </w:r>
      <w:r w:rsidRPr="004013B5">
        <w:rPr>
          <w:rFonts w:ascii="Times New Roman" w:eastAsia="宋体" w:hAnsi="Times New Roman" w:cs="Times New Roman"/>
          <w:szCs w:val="21"/>
        </w:rPr>
        <w:t xml:space="preserve"> 2 </w:t>
      </w:r>
      <w:r w:rsidRPr="004013B5">
        <w:rPr>
          <w:rFonts w:ascii="Times New Roman" w:eastAsia="宋体" w:hAnsi="Times New Roman" w:cs="Times New Roman"/>
          <w:szCs w:val="21"/>
        </w:rPr>
        <w:t>土壤和地下水污染状况调查的工作内容与程序</w:t>
      </w:r>
    </w:p>
    <w:p w14:paraId="4BC0DD5E" w14:textId="77777777" w:rsidR="008F6058" w:rsidRPr="004013B5" w:rsidRDefault="00664EDD" w:rsidP="002336D1">
      <w:pPr>
        <w:spacing w:beforeLines="50" w:before="156" w:afterLines="50" w:after="156"/>
        <w:outlineLvl w:val="1"/>
        <w:rPr>
          <w:rFonts w:ascii="黑体" w:eastAsia="黑体" w:hAnsi="黑体" w:cs="Times New Roman"/>
          <w:szCs w:val="21"/>
        </w:rPr>
      </w:pPr>
      <w:bookmarkStart w:id="23" w:name="_Toc142689397"/>
      <w:r w:rsidRPr="004013B5">
        <w:rPr>
          <w:rFonts w:ascii="黑体" w:eastAsia="黑体" w:hAnsi="黑体" w:cs="Times New Roman"/>
          <w:szCs w:val="21"/>
        </w:rPr>
        <w:t xml:space="preserve">5.2 </w:t>
      </w:r>
      <w:r w:rsidRPr="004013B5">
        <w:rPr>
          <w:rFonts w:ascii="黑体" w:eastAsia="黑体" w:hAnsi="黑体" w:cs="Times New Roman" w:hint="eastAsia"/>
          <w:szCs w:val="21"/>
        </w:rPr>
        <w:t>场地风险评估</w:t>
      </w:r>
      <w:bookmarkEnd w:id="23"/>
    </w:p>
    <w:p w14:paraId="40F94F77"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地块风险评估工作</w:t>
      </w:r>
      <w:r w:rsidR="007034F4" w:rsidRPr="004013B5">
        <w:rPr>
          <w:rFonts w:ascii="Times New Roman" w:eastAsia="宋体" w:hAnsi="Times New Roman" w:cs="Times New Roman" w:hint="eastAsia"/>
          <w:szCs w:val="21"/>
        </w:rPr>
        <w:t>按照</w:t>
      </w:r>
      <w:r w:rsidR="007034F4" w:rsidRPr="004013B5">
        <w:rPr>
          <w:rFonts w:ascii="Times New Roman" w:eastAsia="宋体" w:hAnsi="Times New Roman" w:cs="Times New Roman" w:hint="eastAsia"/>
          <w:szCs w:val="21"/>
        </w:rPr>
        <w:t>H</w:t>
      </w:r>
      <w:r w:rsidR="007034F4" w:rsidRPr="004013B5">
        <w:rPr>
          <w:rFonts w:ascii="Times New Roman" w:eastAsia="宋体" w:hAnsi="Times New Roman" w:cs="Times New Roman"/>
          <w:szCs w:val="21"/>
        </w:rPr>
        <w:t>J25.2</w:t>
      </w:r>
      <w:r w:rsidR="007034F4" w:rsidRPr="004013B5">
        <w:rPr>
          <w:rFonts w:ascii="Times New Roman" w:eastAsia="宋体" w:hAnsi="Times New Roman" w:cs="Times New Roman" w:hint="eastAsia"/>
          <w:szCs w:val="21"/>
        </w:rPr>
        <w:t>要求执行，</w:t>
      </w:r>
      <w:r w:rsidRPr="004013B5">
        <w:rPr>
          <w:rFonts w:ascii="Times New Roman" w:eastAsia="宋体" w:hAnsi="Times New Roman" w:cs="Times New Roman" w:hint="eastAsia"/>
          <w:szCs w:val="21"/>
        </w:rPr>
        <w:t>内容包括危害识别、暴露评估、毒性评估、风险表征，以及土壤和地下水风险控制值的计算。地块风险评估程序见图</w:t>
      </w:r>
      <w:r w:rsidRPr="004013B5">
        <w:rPr>
          <w:rFonts w:ascii="Times New Roman" w:eastAsia="宋体" w:hAnsi="Times New Roman" w:cs="Times New Roman"/>
          <w:szCs w:val="21"/>
        </w:rPr>
        <w:t>3</w:t>
      </w:r>
      <w:r w:rsidRPr="004013B5">
        <w:rPr>
          <w:rFonts w:ascii="Times New Roman" w:eastAsia="宋体" w:hAnsi="Times New Roman" w:cs="Times New Roman"/>
          <w:szCs w:val="21"/>
        </w:rPr>
        <w:t>。</w:t>
      </w:r>
    </w:p>
    <w:p w14:paraId="376A6CC9"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5.2.1</w:t>
      </w:r>
      <w:r w:rsidRPr="004013B5">
        <w:rPr>
          <w:rFonts w:ascii="Times New Roman" w:eastAsia="宋体" w:hAnsi="Times New Roman" w:cs="Times New Roman" w:hint="eastAsia"/>
          <w:szCs w:val="21"/>
        </w:rPr>
        <w:t>危害识别</w:t>
      </w:r>
    </w:p>
    <w:p w14:paraId="08DC2BB9"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收集土壤污染状况调查阶段获得的相关资料和数据，掌握地块土壤和地下水中关注污染物的浓度分布，明确规划土地利用方式，分析可能的敏感受体，如儿童、成人、地下水体等。</w:t>
      </w:r>
    </w:p>
    <w:p w14:paraId="0185FD60"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lastRenderedPageBreak/>
        <w:t>5.2.2</w:t>
      </w:r>
      <w:r w:rsidRPr="004013B5">
        <w:rPr>
          <w:rFonts w:ascii="Times New Roman" w:eastAsia="宋体" w:hAnsi="Times New Roman" w:cs="Times New Roman"/>
          <w:szCs w:val="21"/>
        </w:rPr>
        <w:t>暴露评估</w:t>
      </w:r>
    </w:p>
    <w:p w14:paraId="0C5602F3"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在危害识别的基础上，分析地块内关注污染物迁移和危害敏感受体的可能性，确定地块土壤和地下水污染物的主要暴露途径和暴露评估模型，确定评估模型参数取值，计算敏感人群对土壤和地下水中污染物的暴露量。</w:t>
      </w:r>
    </w:p>
    <w:p w14:paraId="5ABBEB29"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5.2.3</w:t>
      </w:r>
      <w:r w:rsidRPr="004013B5">
        <w:rPr>
          <w:rFonts w:ascii="Times New Roman" w:eastAsia="宋体" w:hAnsi="Times New Roman" w:cs="Times New Roman"/>
          <w:szCs w:val="21"/>
        </w:rPr>
        <w:t>毒性评估</w:t>
      </w:r>
    </w:p>
    <w:p w14:paraId="763962CA"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在危害识别的基础上，分析关注污染物对人体健康的危害效应，包括致癌效应和非致癌效应，确定与关注污染物相关的参数，包括参考剂量、参考浓度、致癌斜率因子和呼吸吸入单位致癌因子等。</w:t>
      </w:r>
    </w:p>
    <w:p w14:paraId="128FCE48"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5.2.4</w:t>
      </w:r>
      <w:r w:rsidRPr="004013B5">
        <w:rPr>
          <w:rFonts w:ascii="Times New Roman" w:eastAsia="宋体" w:hAnsi="Times New Roman" w:cs="Times New Roman"/>
          <w:szCs w:val="21"/>
        </w:rPr>
        <w:t>风险表征</w:t>
      </w:r>
    </w:p>
    <w:p w14:paraId="31E94D0A"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在暴露评估和毒性评估的基础上，采用风险评估模型计算土壤和地下水中单一污染物经单一途径的致癌风险和危害商，计算单一污染物的总致癌风险和危害指数，进行不确定性分析。</w:t>
      </w:r>
    </w:p>
    <w:p w14:paraId="5E3D4AE7" w14:textId="44CEA74C"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5.2.5</w:t>
      </w:r>
      <w:r w:rsidRPr="004013B5">
        <w:rPr>
          <w:rFonts w:ascii="Times New Roman" w:eastAsia="宋体" w:hAnsi="Times New Roman" w:cs="Times New Roman"/>
          <w:szCs w:val="21"/>
        </w:rPr>
        <w:t>土壤和地下水风险控制值的计算</w:t>
      </w:r>
    </w:p>
    <w:p w14:paraId="706F6AB0" w14:textId="7367B736" w:rsidR="008F6058" w:rsidRPr="004013B5" w:rsidRDefault="00664EDD">
      <w:pPr>
        <w:ind w:firstLineChars="200" w:firstLine="420"/>
        <w:rPr>
          <w:rFonts w:ascii="Times New Roman" w:eastAsia="宋体" w:hAnsi="Times New Roman" w:cs="Times New Roman"/>
          <w:szCs w:val="21"/>
        </w:rPr>
      </w:pPr>
      <w:r w:rsidRPr="004013B5">
        <w:rPr>
          <w:noProof/>
        </w:rPr>
        <w:drawing>
          <wp:anchor distT="0" distB="0" distL="114300" distR="114300" simplePos="0" relativeHeight="251662336" behindDoc="0" locked="0" layoutInCell="1" allowOverlap="1" wp14:anchorId="558F1C20" wp14:editId="2C63F317">
            <wp:simplePos x="0" y="0"/>
            <wp:positionH relativeFrom="column">
              <wp:posOffset>1180465</wp:posOffset>
            </wp:positionH>
            <wp:positionV relativeFrom="paragraph">
              <wp:posOffset>874395</wp:posOffset>
            </wp:positionV>
            <wp:extent cx="3663950" cy="4791075"/>
            <wp:effectExtent l="0" t="0" r="0" b="0"/>
            <wp:wrapTopAndBottom/>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663950" cy="4791075"/>
                    </a:xfrm>
                    <a:prstGeom prst="rect">
                      <a:avLst/>
                    </a:prstGeom>
                  </pic:spPr>
                </pic:pic>
              </a:graphicData>
            </a:graphic>
          </wp:anchor>
        </w:drawing>
      </w:r>
      <w:r w:rsidRPr="004013B5">
        <w:rPr>
          <w:rFonts w:ascii="Times New Roman" w:eastAsia="宋体" w:hAnsi="Times New Roman" w:cs="Times New Roman" w:hint="eastAsia"/>
          <w:szCs w:val="21"/>
        </w:rPr>
        <w:t>在风险表征的基础上，判断计算得到的风险值是否超过可接受风险水平。如地块风险评估结果未超过可接受风险水平，即结束风险评估工作；如地块风险评估结果超过可接受风险水平，则计算土壤、地下水中关注污染物的风险控制值；如调查结果表明，土壤中关注污染物可迁移进入地下水，则计算保护地下水的土壤风险控制值；根据计算结果，提出关注污染物的土壤和地下水风险控制值。</w:t>
      </w:r>
    </w:p>
    <w:p w14:paraId="7D5CDBEB" w14:textId="32CCBC7C" w:rsidR="008F6058" w:rsidRPr="004013B5" w:rsidRDefault="00664EDD">
      <w:pPr>
        <w:ind w:firstLineChars="200" w:firstLine="420"/>
        <w:jc w:val="center"/>
        <w:rPr>
          <w:rFonts w:ascii="Times New Roman" w:eastAsia="宋体" w:hAnsi="Times New Roman" w:cs="Times New Roman"/>
          <w:szCs w:val="21"/>
        </w:rPr>
      </w:pPr>
      <w:r w:rsidRPr="004013B5">
        <w:rPr>
          <w:rFonts w:ascii="Times New Roman" w:eastAsia="宋体" w:hAnsi="Times New Roman" w:cs="Times New Roman" w:hint="eastAsia"/>
          <w:szCs w:val="21"/>
        </w:rPr>
        <w:t>图</w:t>
      </w:r>
      <w:r w:rsidRPr="004013B5">
        <w:rPr>
          <w:rFonts w:ascii="Times New Roman" w:eastAsia="宋体" w:hAnsi="Times New Roman" w:cs="Times New Roman"/>
          <w:szCs w:val="21"/>
        </w:rPr>
        <w:t xml:space="preserve"> 3 </w:t>
      </w:r>
      <w:r w:rsidRPr="004013B5">
        <w:rPr>
          <w:rFonts w:ascii="Times New Roman" w:eastAsia="宋体" w:hAnsi="Times New Roman" w:cs="Times New Roman"/>
          <w:szCs w:val="21"/>
        </w:rPr>
        <w:t>地块风险评估程序与内容</w:t>
      </w:r>
    </w:p>
    <w:p w14:paraId="6E6DBB7B" w14:textId="77777777" w:rsidR="008F6058" w:rsidRPr="004013B5" w:rsidRDefault="00664EDD" w:rsidP="002336D1">
      <w:pPr>
        <w:spacing w:beforeLines="50" w:before="156" w:afterLines="50" w:after="156"/>
        <w:outlineLvl w:val="1"/>
        <w:rPr>
          <w:rFonts w:ascii="黑体" w:eastAsia="黑体" w:hAnsi="黑体" w:cs="Times New Roman"/>
          <w:szCs w:val="21"/>
        </w:rPr>
      </w:pPr>
      <w:bookmarkStart w:id="24" w:name="_Toc142689398"/>
      <w:r w:rsidRPr="004013B5">
        <w:rPr>
          <w:rFonts w:ascii="黑体" w:eastAsia="黑体" w:hAnsi="黑体" w:cs="Times New Roman"/>
          <w:szCs w:val="21"/>
        </w:rPr>
        <w:t xml:space="preserve">5.3 </w:t>
      </w:r>
      <w:r w:rsidRPr="004013B5">
        <w:rPr>
          <w:rFonts w:ascii="黑体" w:eastAsia="黑体" w:hAnsi="黑体" w:cs="Times New Roman" w:hint="eastAsia"/>
          <w:szCs w:val="21"/>
        </w:rPr>
        <w:t>场地污染特征刻画</w:t>
      </w:r>
      <w:bookmarkEnd w:id="24"/>
    </w:p>
    <w:p w14:paraId="02BE5A4B"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场地污染特征刻画工作内容包括水文地质条件刻画、重金属污染空间展布、污染边界圈定、修复工程量确定。场地污染特征刻画程序见图</w:t>
      </w:r>
      <w:r w:rsidRPr="004013B5">
        <w:rPr>
          <w:rFonts w:ascii="Times New Roman" w:eastAsia="宋体" w:hAnsi="Times New Roman" w:cs="Times New Roman"/>
          <w:szCs w:val="21"/>
        </w:rPr>
        <w:t>4</w:t>
      </w:r>
      <w:r w:rsidRPr="004013B5">
        <w:rPr>
          <w:rFonts w:ascii="Times New Roman" w:eastAsia="宋体" w:hAnsi="Times New Roman" w:cs="Times New Roman"/>
          <w:szCs w:val="21"/>
        </w:rPr>
        <w:t>。</w:t>
      </w:r>
    </w:p>
    <w:p w14:paraId="5B9AA56B"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5.3.1</w:t>
      </w:r>
      <w:r w:rsidRPr="004013B5">
        <w:rPr>
          <w:rFonts w:ascii="Times New Roman" w:eastAsia="宋体" w:hAnsi="Times New Roman" w:cs="Times New Roman"/>
          <w:szCs w:val="21"/>
        </w:rPr>
        <w:t>水文地质条件刻画</w:t>
      </w:r>
    </w:p>
    <w:p w14:paraId="56C8E039"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以场地调查过程中采用的钻孔取样数据为基础，根据钻孔岩心样品，划分场地地层结构。通过三维</w:t>
      </w:r>
      <w:r w:rsidRPr="004013B5">
        <w:rPr>
          <w:rFonts w:ascii="Times New Roman" w:eastAsia="宋体" w:hAnsi="Times New Roman" w:cs="Times New Roman" w:hint="eastAsia"/>
          <w:szCs w:val="21"/>
        </w:rPr>
        <w:lastRenderedPageBreak/>
        <w:t>建模方法，选择适当空间插值分析方法，绘制场地地层结构三维模型，并进行模型精度验证。若在场地调查过程中具备物探条件，可以获取物探数据，以物探数据为基础，辅以钻孔剖面数据绘制场地地质三维模型。</w:t>
      </w:r>
    </w:p>
    <w:p w14:paraId="734EE031"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5.3.2</w:t>
      </w:r>
      <w:r w:rsidRPr="004013B5">
        <w:rPr>
          <w:rFonts w:ascii="Times New Roman" w:eastAsia="宋体" w:hAnsi="Times New Roman" w:cs="Times New Roman"/>
          <w:szCs w:val="21"/>
        </w:rPr>
        <w:t>重金属污染空间展布</w:t>
      </w:r>
    </w:p>
    <w:p w14:paraId="33FBB0D0"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以钻孔样品中不同类型重金属含量数据为基础，将地层结构模型作为底图，选择适当的空间插值分析方法，建立场地不同重金属三维空间展布模型，并进行模型精度验证。若在场地调查过程中具备物探条件，可以获取物探数据，以高密度电阻法为例，建立电阻率与重金属浓度间的数值关系模型，也可以实现对重金属污染空间展布的三维模型。依靠三维表征软件中污染物三维叠加技术手段，可以进一步建立场地多金属复合三维模型，实现场地污染空间展布的准确建模。</w:t>
      </w:r>
    </w:p>
    <w:p w14:paraId="59BADC86"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5.3.3</w:t>
      </w:r>
      <w:r w:rsidRPr="004013B5">
        <w:rPr>
          <w:rFonts w:ascii="Times New Roman" w:eastAsia="宋体" w:hAnsi="Times New Roman" w:cs="Times New Roman"/>
          <w:szCs w:val="21"/>
        </w:rPr>
        <w:t>污染边界确定</w:t>
      </w:r>
    </w:p>
    <w:p w14:paraId="70AAED06"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污染边界确定基于多金属复合模型建立成果，借助三维表征软件（如</w:t>
      </w:r>
      <w:r w:rsidRPr="004013B5">
        <w:rPr>
          <w:rFonts w:ascii="Times New Roman" w:eastAsia="宋体" w:hAnsi="Times New Roman" w:cs="Times New Roman"/>
          <w:szCs w:val="21"/>
        </w:rPr>
        <w:t>GMS</w:t>
      </w:r>
      <w:r w:rsidRPr="004013B5">
        <w:rPr>
          <w:rFonts w:ascii="Times New Roman" w:eastAsia="宋体" w:hAnsi="Times New Roman" w:cs="Times New Roman"/>
          <w:szCs w:val="21"/>
        </w:rPr>
        <w:t>、</w:t>
      </w:r>
      <w:r w:rsidRPr="004013B5">
        <w:rPr>
          <w:rFonts w:ascii="Times New Roman" w:eastAsia="宋体" w:hAnsi="Times New Roman" w:cs="Times New Roman"/>
          <w:szCs w:val="21"/>
        </w:rPr>
        <w:t>ArcGIS</w:t>
      </w:r>
      <w:r w:rsidRPr="004013B5">
        <w:rPr>
          <w:rFonts w:ascii="Times New Roman" w:eastAsia="宋体" w:hAnsi="Times New Roman" w:cs="Times New Roman"/>
          <w:szCs w:val="21"/>
        </w:rPr>
        <w:t>、</w:t>
      </w:r>
      <w:r w:rsidRPr="004013B5">
        <w:rPr>
          <w:rFonts w:ascii="Times New Roman" w:eastAsia="宋体" w:hAnsi="Times New Roman" w:cs="Times New Roman"/>
          <w:szCs w:val="21"/>
        </w:rPr>
        <w:t>EVS</w:t>
      </w:r>
      <w:r w:rsidRPr="004013B5">
        <w:rPr>
          <w:rFonts w:ascii="Times New Roman" w:eastAsia="宋体" w:hAnsi="Times New Roman" w:cs="Times New Roman"/>
          <w:szCs w:val="21"/>
        </w:rPr>
        <w:t>、</w:t>
      </w:r>
      <w:r w:rsidRPr="004013B5">
        <w:rPr>
          <w:rFonts w:ascii="Times New Roman" w:eastAsia="宋体" w:hAnsi="Times New Roman" w:cs="Times New Roman"/>
          <w:szCs w:val="21"/>
        </w:rPr>
        <w:t>Surfer</w:t>
      </w:r>
      <w:r w:rsidRPr="004013B5">
        <w:rPr>
          <w:rFonts w:ascii="Times New Roman" w:eastAsia="宋体" w:hAnsi="Times New Roman" w:cs="Times New Roman"/>
          <w:szCs w:val="21"/>
        </w:rPr>
        <w:t>等），设置边界浓度限值。根据有色冶炼场地所处地块的土地利用类型情况和污染界定的目的，可以选择不同重金属的风险筛选值和管制值作为污染分布边界值。修复工程量的核算可以根据污染深度与污染面积的计算结果估算，更为准确的方法为通过三维表征软件直接计算污染单元格数量，进一步换算为修复土壤体积。</w:t>
      </w:r>
    </w:p>
    <w:p w14:paraId="6853F20B"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5.3.4</w:t>
      </w:r>
      <w:r w:rsidRPr="004013B5">
        <w:rPr>
          <w:rFonts w:ascii="Times New Roman" w:eastAsia="宋体" w:hAnsi="Times New Roman" w:cs="Times New Roman"/>
          <w:szCs w:val="21"/>
        </w:rPr>
        <w:t>修复工程量计算</w:t>
      </w:r>
    </w:p>
    <w:p w14:paraId="77797B5E" w14:textId="77777777" w:rsidR="008F6058" w:rsidRPr="004013B5" w:rsidRDefault="00664EDD">
      <w:pPr>
        <w:ind w:firstLineChars="200" w:firstLine="640"/>
        <w:rPr>
          <w:rFonts w:ascii="Times New Roman" w:eastAsia="宋体" w:hAnsi="Times New Roman" w:cs="Times New Roman"/>
          <w:szCs w:val="21"/>
        </w:rPr>
      </w:pPr>
      <w:r w:rsidRPr="004013B5">
        <w:rPr>
          <w:rFonts w:ascii="Times New Roman" w:eastAsia="仿宋_GB2312" w:hAnsi="Times New Roman" w:cs="Times New Roman"/>
          <w:noProof/>
          <w:sz w:val="32"/>
          <w:szCs w:val="32"/>
        </w:rPr>
        <w:drawing>
          <wp:anchor distT="0" distB="0" distL="114300" distR="114300" simplePos="0" relativeHeight="251663360" behindDoc="0" locked="0" layoutInCell="1" allowOverlap="1" wp14:anchorId="4C41A389" wp14:editId="0D2B916B">
            <wp:simplePos x="0" y="0"/>
            <wp:positionH relativeFrom="column">
              <wp:posOffset>409575</wp:posOffset>
            </wp:positionH>
            <wp:positionV relativeFrom="paragraph">
              <wp:posOffset>893445</wp:posOffset>
            </wp:positionV>
            <wp:extent cx="5001895" cy="4035425"/>
            <wp:effectExtent l="0" t="0" r="8255" b="3175"/>
            <wp:wrapTopAndBottom/>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001895" cy="4035425"/>
                    </a:xfrm>
                    <a:prstGeom prst="rect">
                      <a:avLst/>
                    </a:prstGeom>
                  </pic:spPr>
                </pic:pic>
              </a:graphicData>
            </a:graphic>
          </wp:anchor>
        </w:drawing>
      </w:r>
      <w:r w:rsidRPr="004013B5">
        <w:rPr>
          <w:rFonts w:ascii="Times New Roman" w:eastAsia="宋体" w:hAnsi="Times New Roman" w:cs="Times New Roman" w:hint="eastAsia"/>
          <w:szCs w:val="21"/>
        </w:rPr>
        <w:t>理论土方量应根据关注污染物种类、浓度水平和污染范围、修复目标值、工艺参数、场地特征条件等调查数据进行估算。估算理论土方量时，应以污染源为中心画出每种关注污染物浓度等值线，采用专业软件或手动估算出等修复目标线（等值线上的数值等于修复目标值）以内的土方量。对于复合型污染，应将每种污染物的等值线图进行叠加估算土方量。</w:t>
      </w:r>
    </w:p>
    <w:p w14:paraId="0A7EAA28" w14:textId="77777777" w:rsidR="008F6058" w:rsidRPr="004013B5" w:rsidRDefault="00664EDD">
      <w:pPr>
        <w:spacing w:beforeLines="50" w:before="156" w:afterLines="50" w:after="156"/>
        <w:jc w:val="center"/>
        <w:rPr>
          <w:rFonts w:ascii="Times New Roman" w:eastAsia="宋体" w:hAnsi="Times New Roman" w:cs="Times New Roman"/>
          <w:szCs w:val="21"/>
        </w:rPr>
      </w:pPr>
      <w:r w:rsidRPr="004013B5">
        <w:rPr>
          <w:rFonts w:ascii="Times New Roman" w:eastAsia="宋体" w:hAnsi="Times New Roman" w:cs="Times New Roman" w:hint="eastAsia"/>
          <w:szCs w:val="21"/>
        </w:rPr>
        <w:t>图</w:t>
      </w:r>
      <w:r w:rsidRPr="004013B5">
        <w:rPr>
          <w:rFonts w:ascii="Times New Roman" w:eastAsia="宋体" w:hAnsi="Times New Roman" w:cs="Times New Roman"/>
          <w:szCs w:val="21"/>
        </w:rPr>
        <w:t xml:space="preserve"> 4 </w:t>
      </w:r>
      <w:r w:rsidRPr="004013B5">
        <w:rPr>
          <w:rFonts w:ascii="Times New Roman" w:eastAsia="宋体" w:hAnsi="Times New Roman" w:cs="Times New Roman"/>
          <w:szCs w:val="21"/>
        </w:rPr>
        <w:t>场地污染特征刻画工作流程与内容</w:t>
      </w:r>
    </w:p>
    <w:p w14:paraId="38526E50" w14:textId="345029CB" w:rsidR="008F6058" w:rsidRPr="004013B5" w:rsidRDefault="00664EDD">
      <w:pPr>
        <w:spacing w:beforeLines="100" w:before="312" w:afterLines="100" w:after="312"/>
        <w:outlineLvl w:val="0"/>
        <w:rPr>
          <w:rFonts w:ascii="黑体" w:eastAsia="黑体" w:hAnsi="黑体" w:cs="Times New Roman"/>
          <w:b/>
          <w:bCs/>
          <w:szCs w:val="21"/>
        </w:rPr>
      </w:pPr>
      <w:bookmarkStart w:id="25" w:name="_Toc142689399"/>
      <w:r w:rsidRPr="004013B5">
        <w:rPr>
          <w:rFonts w:ascii="黑体" w:eastAsia="黑体" w:hAnsi="黑体" w:cs="Times New Roman"/>
          <w:b/>
          <w:bCs/>
          <w:szCs w:val="21"/>
        </w:rPr>
        <w:t xml:space="preserve">6 </w:t>
      </w:r>
      <w:r w:rsidRPr="004013B5">
        <w:rPr>
          <w:rFonts w:ascii="黑体" w:eastAsia="黑体" w:hAnsi="黑体" w:cs="Times New Roman" w:hint="eastAsia"/>
          <w:b/>
          <w:bCs/>
          <w:szCs w:val="21"/>
        </w:rPr>
        <w:t>场地污染分级治理</w:t>
      </w:r>
      <w:bookmarkEnd w:id="25"/>
    </w:p>
    <w:p w14:paraId="4D5ECC3A" w14:textId="25506E9D" w:rsidR="008F6058" w:rsidRPr="004013B5" w:rsidRDefault="00664EDD" w:rsidP="002336D1">
      <w:pPr>
        <w:spacing w:beforeLines="50" w:before="156" w:afterLines="50" w:after="156"/>
        <w:outlineLvl w:val="1"/>
        <w:rPr>
          <w:rFonts w:ascii="黑体" w:eastAsia="黑体" w:hAnsi="黑体" w:cs="Times New Roman"/>
          <w:szCs w:val="21"/>
        </w:rPr>
      </w:pPr>
      <w:bookmarkStart w:id="26" w:name="_Toc142689400"/>
      <w:r w:rsidRPr="004013B5">
        <w:rPr>
          <w:rFonts w:ascii="黑体" w:eastAsia="黑体" w:hAnsi="黑体" w:cs="Times New Roman"/>
          <w:szCs w:val="21"/>
        </w:rPr>
        <w:t>6.1</w:t>
      </w:r>
      <w:r w:rsidR="002A34F5" w:rsidRPr="004013B5">
        <w:rPr>
          <w:rFonts w:ascii="黑体" w:eastAsia="黑体" w:hAnsi="黑体" w:cs="Times New Roman"/>
          <w:szCs w:val="21"/>
        </w:rPr>
        <w:t xml:space="preserve"> </w:t>
      </w:r>
      <w:r w:rsidRPr="004013B5">
        <w:rPr>
          <w:rFonts w:ascii="黑体" w:eastAsia="黑体" w:hAnsi="黑体" w:cs="Times New Roman" w:hint="eastAsia"/>
          <w:szCs w:val="21"/>
        </w:rPr>
        <w:t>评价指标</w:t>
      </w:r>
      <w:bookmarkEnd w:id="26"/>
    </w:p>
    <w:p w14:paraId="48CDACC1"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lastRenderedPageBreak/>
        <w:t>6.1.1</w:t>
      </w:r>
      <w:r w:rsidRPr="004013B5">
        <w:rPr>
          <w:rFonts w:ascii="Times New Roman" w:eastAsia="宋体" w:hAnsi="Times New Roman" w:cs="Times New Roman" w:hint="eastAsia"/>
          <w:szCs w:val="21"/>
        </w:rPr>
        <w:t>土壤重金属总量</w:t>
      </w:r>
    </w:p>
    <w:p w14:paraId="1569403B"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超过</w:t>
      </w:r>
      <w:r w:rsidRPr="004013B5">
        <w:rPr>
          <w:rFonts w:ascii="Times New Roman" w:eastAsia="宋体" w:hAnsi="Times New Roman" w:cs="Times New Roman"/>
          <w:szCs w:val="21"/>
        </w:rPr>
        <w:t>GB 36600</w:t>
      </w:r>
      <w:r w:rsidRPr="004013B5">
        <w:rPr>
          <w:rFonts w:ascii="Times New Roman" w:eastAsia="宋体" w:hAnsi="Times New Roman" w:cs="Times New Roman"/>
          <w:szCs w:val="21"/>
        </w:rPr>
        <w:t>筛选值的土壤开展污染土壤评价分级。</w:t>
      </w:r>
    </w:p>
    <w:p w14:paraId="01D1E24B"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6.1.2</w:t>
      </w:r>
      <w:r w:rsidRPr="004013B5">
        <w:rPr>
          <w:rFonts w:ascii="Times New Roman" w:eastAsia="宋体" w:hAnsi="Times New Roman" w:cs="Times New Roman" w:hint="eastAsia"/>
          <w:szCs w:val="21"/>
        </w:rPr>
        <w:t>基于硫酸硝酸法或水的浸出毒性水质评价</w:t>
      </w:r>
    </w:p>
    <w:p w14:paraId="6BE2F5F7"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阳离子重金属开展基于硫酸硝酸法</w:t>
      </w:r>
      <w:r w:rsidRPr="004013B5">
        <w:rPr>
          <w:rFonts w:ascii="Times New Roman" w:eastAsia="宋体" w:hAnsi="Times New Roman" w:cs="Times New Roman"/>
          <w:szCs w:val="21"/>
        </w:rPr>
        <w:t>HJ/T299</w:t>
      </w:r>
      <w:r w:rsidRPr="004013B5">
        <w:rPr>
          <w:rFonts w:ascii="Times New Roman" w:eastAsia="宋体" w:hAnsi="Times New Roman" w:cs="Times New Roman"/>
          <w:szCs w:val="21"/>
        </w:rPr>
        <w:t>或阴离子重金属开展基于水浸提</w:t>
      </w:r>
      <w:r w:rsidRPr="004013B5">
        <w:rPr>
          <w:rFonts w:ascii="Times New Roman" w:eastAsia="宋体" w:hAnsi="Times New Roman" w:cs="Times New Roman"/>
          <w:szCs w:val="21"/>
        </w:rPr>
        <w:t>HJ557</w:t>
      </w:r>
      <w:r w:rsidRPr="004013B5">
        <w:rPr>
          <w:rFonts w:ascii="Times New Roman" w:eastAsia="宋体" w:hAnsi="Times New Roman" w:cs="Times New Roman"/>
          <w:szCs w:val="21"/>
        </w:rPr>
        <w:t>的浸出毒性水质评价。</w:t>
      </w:r>
    </w:p>
    <w:p w14:paraId="7D02F0B3"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6.1.3</w:t>
      </w:r>
      <w:r w:rsidRPr="004013B5">
        <w:rPr>
          <w:rFonts w:ascii="Times New Roman" w:eastAsia="宋体" w:hAnsi="Times New Roman" w:cs="Times New Roman"/>
          <w:szCs w:val="21"/>
        </w:rPr>
        <w:t>基于</w:t>
      </w:r>
      <w:r w:rsidRPr="004013B5">
        <w:rPr>
          <w:rFonts w:ascii="Times New Roman" w:eastAsia="宋体" w:hAnsi="Times New Roman" w:cs="Times New Roman"/>
          <w:szCs w:val="21"/>
        </w:rPr>
        <w:t>SBET</w:t>
      </w:r>
      <w:r w:rsidRPr="004013B5">
        <w:rPr>
          <w:rFonts w:ascii="Times New Roman" w:eastAsia="宋体" w:hAnsi="Times New Roman" w:cs="Times New Roman"/>
          <w:szCs w:val="21"/>
        </w:rPr>
        <w:t>提取的人体健康风险评价（致癌和非致癌健康风险指数）</w:t>
      </w:r>
    </w:p>
    <w:p w14:paraId="74D9106A"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模拟测试土壤中重金属在人体胃液中的溶解量（即人体可给量，</w:t>
      </w:r>
      <w:r w:rsidRPr="004013B5">
        <w:rPr>
          <w:rFonts w:ascii="Times New Roman" w:eastAsia="宋体" w:hAnsi="Times New Roman" w:cs="Times New Roman"/>
          <w:szCs w:val="21"/>
        </w:rPr>
        <w:t>SBET</w:t>
      </w:r>
      <w:r w:rsidRPr="004013B5">
        <w:rPr>
          <w:rFonts w:ascii="Times New Roman" w:eastAsia="宋体" w:hAnsi="Times New Roman" w:cs="Times New Roman"/>
          <w:szCs w:val="21"/>
        </w:rPr>
        <w:t>提取，具体方法见附录</w:t>
      </w:r>
      <w:r w:rsidRPr="004013B5">
        <w:rPr>
          <w:rFonts w:ascii="Times New Roman" w:eastAsia="宋体" w:hAnsi="Times New Roman" w:cs="Times New Roman"/>
          <w:szCs w:val="21"/>
        </w:rPr>
        <w:t>B</w:t>
      </w:r>
      <w:r w:rsidRPr="004013B5">
        <w:rPr>
          <w:rFonts w:ascii="Times New Roman" w:eastAsia="宋体" w:hAnsi="Times New Roman" w:cs="Times New Roman"/>
          <w:szCs w:val="21"/>
        </w:rPr>
        <w:t>），并以此作为暴露剂量进行健康风险评估，能在一定程度上克服基于总量评估导致结果过于保守的问题</w:t>
      </w:r>
      <w:r w:rsidRPr="004013B5">
        <w:rPr>
          <w:rFonts w:ascii="Times New Roman" w:eastAsia="宋体" w:hAnsi="Times New Roman" w:cs="Times New Roman" w:hint="eastAsia"/>
          <w:szCs w:val="21"/>
        </w:rPr>
        <w:t>。</w:t>
      </w:r>
    </w:p>
    <w:p w14:paraId="4657A96B" w14:textId="77777777" w:rsidR="008F6058" w:rsidRPr="004013B5" w:rsidRDefault="00664EDD" w:rsidP="002336D1">
      <w:pPr>
        <w:spacing w:beforeLines="50" w:before="156" w:afterLines="50" w:after="156"/>
        <w:outlineLvl w:val="1"/>
        <w:rPr>
          <w:rFonts w:ascii="黑体" w:eastAsia="黑体" w:hAnsi="黑体" w:cs="Times New Roman"/>
          <w:szCs w:val="21"/>
        </w:rPr>
      </w:pPr>
      <w:bookmarkStart w:id="27" w:name="_Toc142689401"/>
      <w:r w:rsidRPr="004013B5">
        <w:rPr>
          <w:rFonts w:ascii="黑体" w:eastAsia="黑体" w:hAnsi="黑体" w:cs="Times New Roman"/>
          <w:szCs w:val="21"/>
        </w:rPr>
        <w:t>6.2</w:t>
      </w:r>
      <w:r w:rsidRPr="004013B5">
        <w:rPr>
          <w:rFonts w:ascii="黑体" w:eastAsia="黑体" w:hAnsi="黑体"/>
        </w:rPr>
        <w:t xml:space="preserve"> </w:t>
      </w:r>
      <w:r w:rsidRPr="004013B5">
        <w:rPr>
          <w:rFonts w:ascii="黑体" w:eastAsia="黑体" w:hAnsi="黑体" w:cs="Times New Roman"/>
          <w:szCs w:val="21"/>
        </w:rPr>
        <w:t>等级划分</w:t>
      </w:r>
      <w:bookmarkEnd w:id="27"/>
    </w:p>
    <w:p w14:paraId="2C0B51E7"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6.2.1</w:t>
      </w:r>
      <w:r w:rsidRPr="004013B5">
        <w:rPr>
          <w:rFonts w:ascii="Times New Roman" w:eastAsia="宋体" w:hAnsi="Times New Roman" w:cs="Times New Roman" w:hint="eastAsia"/>
          <w:szCs w:val="21"/>
        </w:rPr>
        <w:t>污染评价</w:t>
      </w:r>
    </w:p>
    <w:p w14:paraId="4951D133"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结合有色冶炼企业厂区实际情况，确定土壤重金属污染物种类、污染程度、空间分布特征，开展场地土壤污染风险评估，评估过程符合《建设用地土壤污染风险评估技术导则》（</w:t>
      </w:r>
      <w:r w:rsidRPr="004013B5">
        <w:rPr>
          <w:rFonts w:ascii="Times New Roman" w:eastAsia="宋体" w:hAnsi="Times New Roman" w:cs="Times New Roman"/>
          <w:szCs w:val="21"/>
        </w:rPr>
        <w:t>HJ 25.3-2019</w:t>
      </w:r>
      <w:r w:rsidRPr="004013B5">
        <w:rPr>
          <w:rFonts w:ascii="Times New Roman" w:eastAsia="宋体" w:hAnsi="Times New Roman" w:cs="Times New Roman"/>
          <w:szCs w:val="21"/>
        </w:rPr>
        <w:t>）。</w:t>
      </w:r>
    </w:p>
    <w:p w14:paraId="62D379E7"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6.2.2</w:t>
      </w:r>
      <w:r w:rsidRPr="004013B5">
        <w:rPr>
          <w:rFonts w:ascii="Times New Roman" w:eastAsia="宋体" w:hAnsi="Times New Roman" w:cs="Times New Roman" w:hint="eastAsia"/>
          <w:szCs w:val="21"/>
        </w:rPr>
        <w:t>污染分级</w:t>
      </w:r>
    </w:p>
    <w:p w14:paraId="65F86DBB"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在前期初评的基础上，对于实际场地土壤重金属总量超过</w:t>
      </w:r>
      <w:r w:rsidRPr="004013B5">
        <w:rPr>
          <w:rFonts w:ascii="Times New Roman" w:eastAsia="宋体" w:hAnsi="Times New Roman" w:cs="Times New Roman"/>
          <w:szCs w:val="21"/>
        </w:rPr>
        <w:t>GB 36600-2018</w:t>
      </w:r>
      <w:r w:rsidR="00177B22" w:rsidRPr="004013B5">
        <w:rPr>
          <w:rFonts w:ascii="Times New Roman" w:eastAsia="宋体" w:hAnsi="Times New Roman" w:cs="Times New Roman"/>
          <w:szCs w:val="21"/>
        </w:rPr>
        <w:t>建设</w:t>
      </w:r>
      <w:r w:rsidR="00177B22" w:rsidRPr="004013B5">
        <w:rPr>
          <w:rFonts w:ascii="Times New Roman" w:eastAsia="宋体" w:hAnsi="Times New Roman" w:cs="Times New Roman" w:hint="eastAsia"/>
          <w:szCs w:val="21"/>
        </w:rPr>
        <w:t>用地筛选</w:t>
      </w:r>
      <w:r w:rsidRPr="004013B5">
        <w:rPr>
          <w:rFonts w:ascii="Times New Roman" w:eastAsia="宋体" w:hAnsi="Times New Roman" w:cs="Times New Roman"/>
          <w:szCs w:val="21"/>
        </w:rPr>
        <w:t>值的土壤，开展土壤重金属浸出毒性测试</w:t>
      </w:r>
      <w:r w:rsidR="00177B22" w:rsidRPr="004013B5">
        <w:rPr>
          <w:rFonts w:ascii="Times New Roman" w:eastAsia="宋体" w:hAnsi="Times New Roman" w:cs="Times New Roman" w:hint="eastAsia"/>
          <w:szCs w:val="21"/>
        </w:rPr>
        <w:t>，使用</w:t>
      </w:r>
      <w:r w:rsidRPr="004013B5">
        <w:rPr>
          <w:rFonts w:ascii="Times New Roman" w:eastAsia="宋体" w:hAnsi="Times New Roman" w:cs="Times New Roman"/>
          <w:szCs w:val="21"/>
        </w:rPr>
        <w:t>HJ/T 299</w:t>
      </w:r>
      <w:r w:rsidRPr="004013B5">
        <w:rPr>
          <w:rFonts w:ascii="Times New Roman" w:eastAsia="宋体" w:hAnsi="Times New Roman" w:cs="Times New Roman"/>
          <w:szCs w:val="21"/>
        </w:rPr>
        <w:t>或者水浸提</w:t>
      </w:r>
      <w:r w:rsidRPr="004013B5">
        <w:rPr>
          <w:rFonts w:ascii="Times New Roman" w:eastAsia="宋体" w:hAnsi="Times New Roman" w:cs="Times New Roman"/>
          <w:szCs w:val="21"/>
        </w:rPr>
        <w:t>HJ557</w:t>
      </w:r>
      <w:r w:rsidRPr="004013B5">
        <w:rPr>
          <w:rFonts w:ascii="Times New Roman" w:eastAsia="宋体" w:hAnsi="Times New Roman" w:cs="Times New Roman"/>
          <w:szCs w:val="21"/>
        </w:rPr>
        <w:t>和基于</w:t>
      </w:r>
      <w:r w:rsidRPr="004013B5">
        <w:rPr>
          <w:rFonts w:ascii="Times New Roman" w:eastAsia="宋体" w:hAnsi="Times New Roman" w:cs="Times New Roman"/>
          <w:szCs w:val="21"/>
        </w:rPr>
        <w:t>SBET</w:t>
      </w:r>
      <w:r w:rsidRPr="004013B5">
        <w:rPr>
          <w:rFonts w:ascii="Times New Roman" w:eastAsia="宋体" w:hAnsi="Times New Roman" w:cs="Times New Roman"/>
          <w:szCs w:val="21"/>
        </w:rPr>
        <w:t>提取的人体健康风险评价（致癌和非致癌健康风险指数），根据土壤重金属污染的评价指标和分级评价标准，确定地块重金属污染等级。</w:t>
      </w:r>
    </w:p>
    <w:p w14:paraId="06967E79"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6.2.2</w:t>
      </w:r>
      <w:r w:rsidRPr="004013B5">
        <w:rPr>
          <w:rFonts w:ascii="Times New Roman" w:eastAsia="宋体" w:hAnsi="Times New Roman" w:cs="Times New Roman" w:hint="eastAsia"/>
          <w:szCs w:val="21"/>
        </w:rPr>
        <w:t>分级调整</w:t>
      </w:r>
    </w:p>
    <w:p w14:paraId="567E8BC6"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对于受污染程度相似的场地土壤，综合考虑场地厂区的物理边界（如厂房、硬化路面等）、地块边界或权属边界等因素，原则上划分为同一类别，对于多重金属复合污染类型，以污染程度最高的重金属污染类别划分界定（表</w:t>
      </w:r>
      <w:r w:rsidRPr="004013B5">
        <w:rPr>
          <w:rFonts w:ascii="Times New Roman" w:eastAsia="宋体" w:hAnsi="Times New Roman" w:cs="Times New Roman"/>
          <w:szCs w:val="21"/>
        </w:rPr>
        <w:t>1</w:t>
      </w:r>
      <w:r w:rsidRPr="004013B5">
        <w:rPr>
          <w:rFonts w:ascii="Times New Roman" w:eastAsia="宋体" w:hAnsi="Times New Roman" w:cs="Times New Roman"/>
          <w:szCs w:val="21"/>
        </w:rPr>
        <w:t>）。根据最新土地利用类型变更情况、场地土壤环境质量的变化情况（如突发事件等导致的新增受污染场地或已完成治理的场地等），及时调整类别。</w:t>
      </w:r>
    </w:p>
    <w:p w14:paraId="4FC4FE06" w14:textId="77777777" w:rsidR="008F6058" w:rsidRPr="004013B5" w:rsidRDefault="008F6058">
      <w:pPr>
        <w:ind w:firstLineChars="200" w:firstLine="420"/>
        <w:rPr>
          <w:rFonts w:ascii="Times New Roman" w:eastAsia="宋体" w:hAnsi="Times New Roman" w:cs="Times New Roman"/>
          <w:szCs w:val="21"/>
        </w:rPr>
      </w:pPr>
    </w:p>
    <w:p w14:paraId="535216E0" w14:textId="77777777" w:rsidR="008F6058" w:rsidRPr="004013B5" w:rsidRDefault="00664EDD">
      <w:pPr>
        <w:jc w:val="center"/>
        <w:rPr>
          <w:rFonts w:ascii="Times New Roman" w:eastAsia="宋体" w:hAnsi="Times New Roman" w:cs="Times New Roman"/>
          <w:szCs w:val="21"/>
        </w:rPr>
      </w:pPr>
      <w:r w:rsidRPr="004013B5">
        <w:rPr>
          <w:rFonts w:ascii="Times New Roman" w:eastAsia="宋体" w:hAnsi="Times New Roman" w:cs="Times New Roman" w:hint="eastAsia"/>
          <w:szCs w:val="21"/>
        </w:rPr>
        <w:t>表</w:t>
      </w:r>
      <w:r w:rsidRPr="004013B5">
        <w:rPr>
          <w:rFonts w:ascii="Times New Roman" w:eastAsia="宋体" w:hAnsi="Times New Roman" w:cs="Times New Roman"/>
          <w:szCs w:val="21"/>
        </w:rPr>
        <w:t>1</w:t>
      </w:r>
      <w:r w:rsidRPr="004013B5">
        <w:rPr>
          <w:rFonts w:ascii="Times New Roman" w:eastAsia="宋体" w:hAnsi="Times New Roman" w:cs="Times New Roman"/>
          <w:szCs w:val="21"/>
        </w:rPr>
        <w:t>有色金属冶炼地块重金属污染程度分级评价标准</w:t>
      </w:r>
    </w:p>
    <w:tbl>
      <w:tblPr>
        <w:tblStyle w:val="1"/>
        <w:tblW w:w="9185" w:type="dxa"/>
        <w:jc w:val="center"/>
        <w:tblLook w:val="04A0" w:firstRow="1" w:lastRow="0" w:firstColumn="1" w:lastColumn="0" w:noHBand="0" w:noVBand="1"/>
      </w:tblPr>
      <w:tblGrid>
        <w:gridCol w:w="1356"/>
        <w:gridCol w:w="1630"/>
        <w:gridCol w:w="2491"/>
        <w:gridCol w:w="2376"/>
        <w:gridCol w:w="1332"/>
      </w:tblGrid>
      <w:tr w:rsidR="008F6058" w:rsidRPr="004013B5" w14:paraId="3D8F917D" w14:textId="77777777">
        <w:trPr>
          <w:trHeight w:val="216"/>
          <w:jc w:val="center"/>
        </w:trPr>
        <w:tc>
          <w:tcPr>
            <w:tcW w:w="1356" w:type="dxa"/>
            <w:vAlign w:val="center"/>
          </w:tcPr>
          <w:p w14:paraId="0F448265" w14:textId="77777777" w:rsidR="008F6058" w:rsidRPr="004013B5" w:rsidRDefault="00664EDD">
            <w:pPr>
              <w:jc w:val="center"/>
              <w:rPr>
                <w:rFonts w:ascii="Times New Roman" w:eastAsia="宋体" w:hAnsi="Times New Roman"/>
                <w:sz w:val="18"/>
                <w:szCs w:val="18"/>
              </w:rPr>
            </w:pPr>
            <w:r w:rsidRPr="004013B5">
              <w:rPr>
                <w:rFonts w:ascii="Times New Roman" w:eastAsia="宋体" w:hAnsi="Times New Roman"/>
                <w:sz w:val="18"/>
                <w:szCs w:val="18"/>
              </w:rPr>
              <w:t>污染土壤</w:t>
            </w:r>
          </w:p>
        </w:tc>
        <w:tc>
          <w:tcPr>
            <w:tcW w:w="1630" w:type="dxa"/>
            <w:vAlign w:val="center"/>
          </w:tcPr>
          <w:p w14:paraId="524B0933" w14:textId="77777777" w:rsidR="008F6058" w:rsidRPr="004013B5" w:rsidRDefault="00664EDD">
            <w:pPr>
              <w:jc w:val="center"/>
              <w:rPr>
                <w:rFonts w:ascii="Times New Roman" w:eastAsia="宋体" w:hAnsi="Times New Roman"/>
                <w:sz w:val="18"/>
                <w:szCs w:val="18"/>
              </w:rPr>
            </w:pPr>
            <w:r w:rsidRPr="004013B5">
              <w:rPr>
                <w:rFonts w:ascii="Times New Roman" w:eastAsia="宋体" w:hAnsi="Times New Roman"/>
                <w:sz w:val="18"/>
                <w:szCs w:val="18"/>
              </w:rPr>
              <w:t>评价指标</w:t>
            </w:r>
          </w:p>
        </w:tc>
        <w:tc>
          <w:tcPr>
            <w:tcW w:w="2491" w:type="dxa"/>
            <w:vAlign w:val="center"/>
          </w:tcPr>
          <w:p w14:paraId="23ACBF53" w14:textId="77777777" w:rsidR="008F6058" w:rsidRPr="004013B5" w:rsidRDefault="00664EDD">
            <w:pPr>
              <w:jc w:val="center"/>
              <w:rPr>
                <w:rFonts w:ascii="Times New Roman" w:eastAsia="宋体" w:hAnsi="Times New Roman"/>
                <w:sz w:val="18"/>
                <w:szCs w:val="18"/>
              </w:rPr>
            </w:pPr>
            <w:r w:rsidRPr="004013B5">
              <w:rPr>
                <w:rFonts w:ascii="Times New Roman" w:eastAsia="宋体" w:hAnsi="Times New Roman"/>
                <w:sz w:val="18"/>
                <w:szCs w:val="18"/>
              </w:rPr>
              <w:t>相关指标数值、意义</w:t>
            </w:r>
          </w:p>
        </w:tc>
        <w:tc>
          <w:tcPr>
            <w:tcW w:w="2376" w:type="dxa"/>
            <w:vAlign w:val="center"/>
          </w:tcPr>
          <w:p w14:paraId="353485CE" w14:textId="77777777" w:rsidR="008F6058" w:rsidRPr="004013B5" w:rsidRDefault="00664EDD">
            <w:pPr>
              <w:jc w:val="center"/>
              <w:rPr>
                <w:rFonts w:ascii="Times New Roman" w:eastAsia="宋体" w:hAnsi="Times New Roman"/>
                <w:sz w:val="18"/>
                <w:szCs w:val="18"/>
              </w:rPr>
            </w:pPr>
            <w:r w:rsidRPr="004013B5">
              <w:rPr>
                <w:rFonts w:ascii="Times New Roman" w:eastAsia="宋体" w:hAnsi="Times New Roman"/>
                <w:sz w:val="18"/>
                <w:szCs w:val="18"/>
              </w:rPr>
              <w:t>评价方法</w:t>
            </w:r>
          </w:p>
        </w:tc>
        <w:tc>
          <w:tcPr>
            <w:tcW w:w="1332" w:type="dxa"/>
            <w:vAlign w:val="center"/>
          </w:tcPr>
          <w:p w14:paraId="3AFE0195" w14:textId="77777777" w:rsidR="008F6058" w:rsidRPr="004013B5" w:rsidRDefault="00664EDD">
            <w:pPr>
              <w:jc w:val="center"/>
              <w:rPr>
                <w:rFonts w:ascii="Times New Roman" w:eastAsia="宋体" w:hAnsi="Times New Roman"/>
                <w:sz w:val="18"/>
                <w:szCs w:val="18"/>
              </w:rPr>
            </w:pPr>
            <w:r w:rsidRPr="004013B5">
              <w:rPr>
                <w:rFonts w:ascii="Times New Roman" w:eastAsia="宋体" w:hAnsi="Times New Roman"/>
                <w:sz w:val="18"/>
                <w:szCs w:val="18"/>
              </w:rPr>
              <w:t>污染程度评级</w:t>
            </w:r>
          </w:p>
        </w:tc>
      </w:tr>
      <w:tr w:rsidR="008F6058" w:rsidRPr="004013B5" w14:paraId="76AC27B7" w14:textId="77777777">
        <w:trPr>
          <w:trHeight w:val="1376"/>
          <w:jc w:val="center"/>
        </w:trPr>
        <w:tc>
          <w:tcPr>
            <w:tcW w:w="1356" w:type="dxa"/>
            <w:vMerge w:val="restart"/>
            <w:vAlign w:val="center"/>
          </w:tcPr>
          <w:p w14:paraId="47CD3284" w14:textId="77777777" w:rsidR="008F6058" w:rsidRPr="004013B5" w:rsidRDefault="00664EDD">
            <w:pPr>
              <w:rPr>
                <w:rFonts w:ascii="Times New Roman" w:eastAsia="宋体" w:hAnsi="Times New Roman"/>
                <w:sz w:val="18"/>
                <w:szCs w:val="18"/>
              </w:rPr>
            </w:pPr>
            <w:r w:rsidRPr="004013B5">
              <w:rPr>
                <w:rFonts w:ascii="Times New Roman" w:eastAsia="宋体" w:hAnsi="Times New Roman"/>
                <w:sz w:val="18"/>
                <w:szCs w:val="18"/>
              </w:rPr>
              <w:t>超过《土壤环境质量</w:t>
            </w:r>
            <w:r w:rsidRPr="004013B5">
              <w:rPr>
                <w:rFonts w:ascii="Times New Roman" w:eastAsia="宋体" w:hAnsi="Times New Roman"/>
                <w:sz w:val="18"/>
                <w:szCs w:val="18"/>
              </w:rPr>
              <w:t xml:space="preserve"> </w:t>
            </w:r>
            <w:r w:rsidRPr="004013B5">
              <w:rPr>
                <w:rFonts w:ascii="Times New Roman" w:eastAsia="宋体" w:hAnsi="Times New Roman"/>
                <w:sz w:val="18"/>
                <w:szCs w:val="18"/>
              </w:rPr>
              <w:t>建设用地土壤污染风险管控标准》（</w:t>
            </w:r>
            <w:r w:rsidRPr="004013B5">
              <w:rPr>
                <w:rFonts w:ascii="Times New Roman" w:eastAsia="宋体" w:hAnsi="Times New Roman"/>
                <w:sz w:val="18"/>
                <w:szCs w:val="18"/>
              </w:rPr>
              <w:t xml:space="preserve">GB 36600-2018 </w:t>
            </w:r>
            <w:r w:rsidRPr="004013B5">
              <w:rPr>
                <w:rFonts w:ascii="Times New Roman" w:eastAsia="宋体" w:hAnsi="Times New Roman"/>
                <w:sz w:val="18"/>
                <w:szCs w:val="18"/>
              </w:rPr>
              <w:t>）筛选值的重金属污染土壤</w:t>
            </w:r>
          </w:p>
        </w:tc>
        <w:tc>
          <w:tcPr>
            <w:tcW w:w="1630" w:type="dxa"/>
            <w:vMerge w:val="restart"/>
            <w:vAlign w:val="center"/>
          </w:tcPr>
          <w:p w14:paraId="2617BE15" w14:textId="77777777" w:rsidR="008F6058" w:rsidRPr="004013B5" w:rsidRDefault="00664EDD">
            <w:pPr>
              <w:rPr>
                <w:rFonts w:ascii="Times New Roman" w:eastAsia="宋体" w:hAnsi="Times New Roman"/>
                <w:sz w:val="18"/>
                <w:szCs w:val="18"/>
              </w:rPr>
            </w:pPr>
            <w:r w:rsidRPr="004013B5">
              <w:rPr>
                <w:rFonts w:ascii="Times New Roman" w:eastAsia="宋体" w:hAnsi="Times New Roman"/>
                <w:sz w:val="18"/>
                <w:szCs w:val="18"/>
              </w:rPr>
              <w:t>阳离子基于硫酸硝酸法</w:t>
            </w:r>
            <w:r w:rsidRPr="004013B5">
              <w:rPr>
                <w:rFonts w:ascii="Times New Roman" w:eastAsia="宋体" w:hAnsi="Times New Roman" w:hint="eastAsia"/>
                <w:color w:val="000000" w:themeColor="text1"/>
                <w:sz w:val="18"/>
                <w:szCs w:val="18"/>
              </w:rPr>
              <w:t>（</w:t>
            </w:r>
            <w:r w:rsidRPr="004013B5">
              <w:rPr>
                <w:rFonts w:ascii="Times New Roman" w:eastAsia="宋体" w:hAnsi="Times New Roman"/>
                <w:color w:val="000000" w:themeColor="text1"/>
                <w:sz w:val="18"/>
                <w:szCs w:val="18"/>
              </w:rPr>
              <w:t>HJ/T299-2007</w:t>
            </w:r>
            <w:r w:rsidRPr="004013B5">
              <w:rPr>
                <w:rFonts w:ascii="Times New Roman" w:eastAsia="宋体" w:hAnsi="Times New Roman" w:hint="eastAsia"/>
                <w:color w:val="000000" w:themeColor="text1"/>
                <w:sz w:val="18"/>
                <w:szCs w:val="18"/>
              </w:rPr>
              <w:t>）</w:t>
            </w:r>
            <w:r w:rsidRPr="004013B5">
              <w:rPr>
                <w:rFonts w:ascii="Times New Roman" w:eastAsia="宋体" w:hAnsi="Times New Roman"/>
                <w:color w:val="000000" w:themeColor="text1"/>
                <w:sz w:val="18"/>
                <w:szCs w:val="18"/>
              </w:rPr>
              <w:t>或者阴离子水浸提</w:t>
            </w:r>
            <w:r w:rsidRPr="004013B5">
              <w:rPr>
                <w:rFonts w:ascii="Times New Roman" w:eastAsia="宋体" w:hAnsi="Times New Roman" w:hint="eastAsia"/>
                <w:color w:val="000000" w:themeColor="text1"/>
                <w:sz w:val="18"/>
                <w:szCs w:val="18"/>
              </w:rPr>
              <w:t>（</w:t>
            </w:r>
            <w:r w:rsidRPr="004013B5">
              <w:rPr>
                <w:rFonts w:ascii="Times New Roman" w:eastAsia="宋体" w:hAnsi="Times New Roman"/>
                <w:color w:val="000000" w:themeColor="text1"/>
                <w:sz w:val="18"/>
                <w:szCs w:val="18"/>
              </w:rPr>
              <w:t>HJ557-2010</w:t>
            </w:r>
            <w:r w:rsidRPr="004013B5">
              <w:rPr>
                <w:rFonts w:ascii="Times New Roman" w:eastAsia="宋体" w:hAnsi="Times New Roman" w:hint="eastAsia"/>
                <w:color w:val="000000" w:themeColor="text1"/>
                <w:sz w:val="18"/>
                <w:szCs w:val="18"/>
              </w:rPr>
              <w:t>）</w:t>
            </w:r>
            <w:r w:rsidRPr="004013B5">
              <w:rPr>
                <w:rFonts w:ascii="Times New Roman" w:eastAsia="宋体" w:hAnsi="Times New Roman"/>
                <w:color w:val="000000" w:themeColor="text1"/>
                <w:sz w:val="18"/>
                <w:szCs w:val="18"/>
              </w:rPr>
              <w:t>的浸出毒性水质评价</w:t>
            </w:r>
          </w:p>
        </w:tc>
        <w:tc>
          <w:tcPr>
            <w:tcW w:w="2491" w:type="dxa"/>
            <w:vMerge w:val="restart"/>
            <w:vAlign w:val="center"/>
          </w:tcPr>
          <w:p w14:paraId="77E3F415" w14:textId="77777777" w:rsidR="008F6058" w:rsidRPr="004013B5" w:rsidRDefault="00664EDD">
            <w:pPr>
              <w:rPr>
                <w:rFonts w:ascii="Times New Roman" w:eastAsia="宋体" w:hAnsi="Times New Roman"/>
                <w:sz w:val="18"/>
                <w:szCs w:val="18"/>
              </w:rPr>
            </w:pPr>
            <w:r w:rsidRPr="004013B5">
              <w:rPr>
                <w:rFonts w:ascii="Times New Roman" w:eastAsia="宋体" w:hAnsi="Times New Roman"/>
                <w:sz w:val="18"/>
                <w:szCs w:val="18"/>
              </w:rPr>
              <w:t>根据地块周边影响介质，选择与国家相应标准《地表水环境质量标准》（</w:t>
            </w:r>
            <w:r w:rsidRPr="004013B5">
              <w:rPr>
                <w:rFonts w:ascii="Times New Roman" w:eastAsia="宋体" w:hAnsi="Times New Roman"/>
                <w:sz w:val="18"/>
                <w:szCs w:val="18"/>
              </w:rPr>
              <w:t>GB3838-2002</w:t>
            </w:r>
            <w:r w:rsidRPr="004013B5">
              <w:rPr>
                <w:rFonts w:ascii="Times New Roman" w:eastAsia="宋体" w:hAnsi="Times New Roman"/>
                <w:sz w:val="18"/>
                <w:szCs w:val="18"/>
              </w:rPr>
              <w:t>）或《地下水质量标准》</w:t>
            </w:r>
            <w:r w:rsidRPr="004013B5">
              <w:rPr>
                <w:rFonts w:ascii="Times New Roman" w:eastAsia="宋体" w:hAnsi="Times New Roman"/>
                <w:sz w:val="18"/>
                <w:szCs w:val="18"/>
              </w:rPr>
              <w:t>(GBT 14848-2017) Ⅳ</w:t>
            </w:r>
            <w:r w:rsidRPr="004013B5">
              <w:rPr>
                <w:rFonts w:ascii="Times New Roman" w:eastAsia="宋体" w:hAnsi="Times New Roman"/>
                <w:sz w:val="18"/>
                <w:szCs w:val="18"/>
              </w:rPr>
              <w:t>类指标比对，超过限定值即超标。</w:t>
            </w:r>
          </w:p>
        </w:tc>
        <w:tc>
          <w:tcPr>
            <w:tcW w:w="2376" w:type="dxa"/>
            <w:vAlign w:val="center"/>
          </w:tcPr>
          <w:p w14:paraId="7F17BC44" w14:textId="77777777" w:rsidR="008F6058" w:rsidRPr="004013B5" w:rsidRDefault="00664EDD">
            <w:pPr>
              <w:rPr>
                <w:rFonts w:ascii="Times New Roman" w:eastAsia="宋体" w:hAnsi="Times New Roman"/>
                <w:sz w:val="18"/>
                <w:szCs w:val="18"/>
              </w:rPr>
            </w:pPr>
            <w:r w:rsidRPr="004013B5">
              <w:rPr>
                <w:rFonts w:ascii="Times New Roman" w:eastAsia="宋体" w:hAnsi="Times New Roman"/>
                <w:sz w:val="18"/>
                <w:szCs w:val="18"/>
              </w:rPr>
              <w:t>水质评价未超标以及人体健康风险评价指数均未存在风险。</w:t>
            </w:r>
          </w:p>
        </w:tc>
        <w:tc>
          <w:tcPr>
            <w:tcW w:w="1332" w:type="dxa"/>
            <w:vAlign w:val="center"/>
          </w:tcPr>
          <w:p w14:paraId="4C9E799C" w14:textId="77777777" w:rsidR="008F6058" w:rsidRPr="004013B5" w:rsidRDefault="00664EDD">
            <w:pPr>
              <w:jc w:val="center"/>
              <w:rPr>
                <w:rFonts w:ascii="Times New Roman" w:eastAsia="宋体" w:hAnsi="Times New Roman"/>
                <w:sz w:val="18"/>
                <w:szCs w:val="18"/>
              </w:rPr>
            </w:pPr>
            <w:r w:rsidRPr="004013B5">
              <w:rPr>
                <w:rFonts w:ascii="Times New Roman" w:eastAsia="宋体" w:hAnsi="Times New Roman"/>
                <w:sz w:val="18"/>
                <w:szCs w:val="18"/>
              </w:rPr>
              <w:t>轻度</w:t>
            </w:r>
          </w:p>
        </w:tc>
      </w:tr>
      <w:tr w:rsidR="008F6058" w:rsidRPr="004013B5" w14:paraId="4920BAB6" w14:textId="77777777">
        <w:trPr>
          <w:trHeight w:val="411"/>
          <w:jc w:val="center"/>
        </w:trPr>
        <w:tc>
          <w:tcPr>
            <w:tcW w:w="1356" w:type="dxa"/>
            <w:vMerge/>
            <w:vAlign w:val="center"/>
          </w:tcPr>
          <w:p w14:paraId="457C93B6" w14:textId="77777777" w:rsidR="008F6058" w:rsidRPr="004013B5" w:rsidRDefault="008F6058">
            <w:pPr>
              <w:rPr>
                <w:sz w:val="18"/>
                <w:szCs w:val="18"/>
              </w:rPr>
            </w:pPr>
          </w:p>
        </w:tc>
        <w:tc>
          <w:tcPr>
            <w:tcW w:w="1630" w:type="dxa"/>
            <w:vMerge/>
            <w:vAlign w:val="center"/>
          </w:tcPr>
          <w:p w14:paraId="573B8D40" w14:textId="77777777" w:rsidR="008F6058" w:rsidRPr="004013B5" w:rsidRDefault="008F6058">
            <w:pPr>
              <w:rPr>
                <w:sz w:val="18"/>
                <w:szCs w:val="18"/>
              </w:rPr>
            </w:pPr>
          </w:p>
        </w:tc>
        <w:tc>
          <w:tcPr>
            <w:tcW w:w="2491" w:type="dxa"/>
            <w:vMerge/>
            <w:vAlign w:val="center"/>
          </w:tcPr>
          <w:p w14:paraId="22A6ABD1" w14:textId="77777777" w:rsidR="008F6058" w:rsidRPr="004013B5" w:rsidRDefault="008F6058">
            <w:pPr>
              <w:rPr>
                <w:sz w:val="18"/>
                <w:szCs w:val="18"/>
              </w:rPr>
            </w:pPr>
          </w:p>
        </w:tc>
        <w:tc>
          <w:tcPr>
            <w:tcW w:w="2376" w:type="dxa"/>
            <w:vMerge w:val="restart"/>
            <w:vAlign w:val="center"/>
          </w:tcPr>
          <w:p w14:paraId="6F1A230D" w14:textId="77777777" w:rsidR="008F6058" w:rsidRPr="004013B5" w:rsidRDefault="00664EDD">
            <w:pPr>
              <w:rPr>
                <w:sz w:val="18"/>
                <w:szCs w:val="18"/>
              </w:rPr>
            </w:pPr>
            <w:r w:rsidRPr="004013B5">
              <w:rPr>
                <w:rFonts w:ascii="Times New Roman" w:eastAsia="宋体" w:hAnsi="Times New Roman"/>
                <w:sz w:val="18"/>
                <w:szCs w:val="18"/>
              </w:rPr>
              <w:t>各指数介于轻度和重度之间的可能情况。</w:t>
            </w:r>
          </w:p>
        </w:tc>
        <w:tc>
          <w:tcPr>
            <w:tcW w:w="1332" w:type="dxa"/>
            <w:vMerge w:val="restart"/>
            <w:vAlign w:val="center"/>
          </w:tcPr>
          <w:p w14:paraId="58BF976B" w14:textId="77777777" w:rsidR="008F6058" w:rsidRPr="004013B5" w:rsidRDefault="00664EDD">
            <w:pPr>
              <w:jc w:val="center"/>
              <w:rPr>
                <w:sz w:val="18"/>
                <w:szCs w:val="18"/>
              </w:rPr>
            </w:pPr>
            <w:r w:rsidRPr="004013B5">
              <w:rPr>
                <w:rFonts w:ascii="Times New Roman" w:eastAsia="宋体" w:hAnsi="Times New Roman"/>
                <w:sz w:val="18"/>
                <w:szCs w:val="18"/>
              </w:rPr>
              <w:t>中度</w:t>
            </w:r>
          </w:p>
        </w:tc>
      </w:tr>
      <w:tr w:rsidR="008F6058" w:rsidRPr="004013B5" w14:paraId="467968D7" w14:textId="77777777">
        <w:trPr>
          <w:trHeight w:val="443"/>
          <w:jc w:val="center"/>
        </w:trPr>
        <w:tc>
          <w:tcPr>
            <w:tcW w:w="1356" w:type="dxa"/>
            <w:vMerge/>
            <w:vAlign w:val="center"/>
          </w:tcPr>
          <w:p w14:paraId="07A7C5F7" w14:textId="77777777" w:rsidR="008F6058" w:rsidRPr="004013B5" w:rsidRDefault="008F6058">
            <w:pPr>
              <w:rPr>
                <w:rFonts w:ascii="Times New Roman" w:eastAsia="宋体" w:hAnsi="Times New Roman"/>
                <w:sz w:val="18"/>
                <w:szCs w:val="18"/>
              </w:rPr>
            </w:pPr>
          </w:p>
        </w:tc>
        <w:tc>
          <w:tcPr>
            <w:tcW w:w="1630" w:type="dxa"/>
            <w:vMerge w:val="restart"/>
            <w:vAlign w:val="center"/>
          </w:tcPr>
          <w:p w14:paraId="4A625325" w14:textId="77777777" w:rsidR="008F6058" w:rsidRPr="004013B5" w:rsidRDefault="00664EDD">
            <w:pPr>
              <w:rPr>
                <w:rFonts w:ascii="Times New Roman" w:eastAsia="宋体" w:hAnsi="Times New Roman"/>
                <w:sz w:val="18"/>
                <w:szCs w:val="18"/>
              </w:rPr>
            </w:pPr>
            <w:r w:rsidRPr="004013B5">
              <w:rPr>
                <w:rFonts w:ascii="Times New Roman" w:eastAsia="宋体" w:hAnsi="Times New Roman"/>
                <w:sz w:val="18"/>
                <w:szCs w:val="18"/>
              </w:rPr>
              <w:t>基于</w:t>
            </w:r>
            <w:r w:rsidRPr="004013B5">
              <w:rPr>
                <w:rFonts w:ascii="Times New Roman" w:eastAsia="宋体" w:hAnsi="Times New Roman"/>
                <w:sz w:val="18"/>
                <w:szCs w:val="18"/>
              </w:rPr>
              <w:t>SBET</w:t>
            </w:r>
            <w:r w:rsidRPr="004013B5">
              <w:rPr>
                <w:rFonts w:ascii="Times New Roman" w:eastAsia="宋体" w:hAnsi="Times New Roman"/>
                <w:sz w:val="18"/>
                <w:szCs w:val="18"/>
              </w:rPr>
              <w:t>提取的人体健康风险评价（致癌和非致癌健康风险指数）</w:t>
            </w:r>
          </w:p>
        </w:tc>
        <w:tc>
          <w:tcPr>
            <w:tcW w:w="2491" w:type="dxa"/>
            <w:vMerge w:val="restart"/>
            <w:vAlign w:val="center"/>
          </w:tcPr>
          <w:p w14:paraId="391C980B" w14:textId="77777777" w:rsidR="008F6058" w:rsidRPr="004013B5" w:rsidRDefault="00664EDD">
            <w:pPr>
              <w:rPr>
                <w:rFonts w:ascii="Times New Roman" w:eastAsia="宋体" w:hAnsi="Times New Roman"/>
                <w:sz w:val="18"/>
                <w:szCs w:val="18"/>
              </w:rPr>
            </w:pPr>
            <w:r w:rsidRPr="004013B5">
              <w:rPr>
                <w:rFonts w:ascii="Times New Roman" w:eastAsia="宋体" w:hAnsi="Times New Roman"/>
                <w:sz w:val="18"/>
                <w:szCs w:val="18"/>
              </w:rPr>
              <w:t>开展经口摄入途径的非致癌健康风险评价（</w:t>
            </w:r>
            <w:r w:rsidRPr="004013B5">
              <w:rPr>
                <w:rFonts w:ascii="Times New Roman" w:eastAsia="宋体" w:hAnsi="Times New Roman"/>
                <w:sz w:val="18"/>
                <w:szCs w:val="18"/>
              </w:rPr>
              <w:t>1</w:t>
            </w:r>
            <w:r w:rsidRPr="004013B5">
              <w:rPr>
                <w:rFonts w:ascii="Times New Roman" w:eastAsia="宋体" w:hAnsi="Times New Roman"/>
                <w:sz w:val="18"/>
                <w:szCs w:val="18"/>
              </w:rPr>
              <w:t>）和致癌健康风险评价</w:t>
            </w:r>
            <w:r w:rsidRPr="004013B5">
              <w:rPr>
                <w:rFonts w:ascii="Times New Roman" w:eastAsia="宋体" w:hAnsi="Times New Roman"/>
                <w:color w:val="000000" w:themeColor="text1"/>
                <w:sz w:val="18"/>
                <w:szCs w:val="18"/>
              </w:rPr>
              <w:t>（</w:t>
            </w:r>
            <w:r w:rsidRPr="004013B5">
              <w:rPr>
                <w:rFonts w:ascii="Times New Roman" w:eastAsia="宋体" w:hAnsi="Times New Roman"/>
                <w:color w:val="000000" w:themeColor="text1"/>
                <w:sz w:val="18"/>
                <w:szCs w:val="18"/>
              </w:rPr>
              <w:t>10</w:t>
            </w:r>
            <w:r w:rsidRPr="004013B5">
              <w:rPr>
                <w:rFonts w:ascii="Times New Roman" w:eastAsia="宋体" w:hAnsi="Times New Roman"/>
                <w:color w:val="000000" w:themeColor="text1"/>
                <w:sz w:val="18"/>
                <w:szCs w:val="18"/>
                <w:vertAlign w:val="superscript"/>
              </w:rPr>
              <w:t>-4</w:t>
            </w:r>
            <w:r w:rsidRPr="004013B5">
              <w:rPr>
                <w:rFonts w:ascii="Times New Roman" w:eastAsia="宋体" w:hAnsi="Times New Roman"/>
                <w:color w:val="000000" w:themeColor="text1"/>
                <w:sz w:val="18"/>
                <w:szCs w:val="18"/>
              </w:rPr>
              <w:t>），若</w:t>
            </w:r>
            <w:r w:rsidRPr="004013B5">
              <w:rPr>
                <w:rFonts w:ascii="Times New Roman" w:eastAsia="宋体" w:hAnsi="Times New Roman"/>
                <w:sz w:val="18"/>
                <w:szCs w:val="18"/>
              </w:rPr>
              <w:t>大于限定值则认为存在风险。</w:t>
            </w:r>
          </w:p>
        </w:tc>
        <w:tc>
          <w:tcPr>
            <w:tcW w:w="2376" w:type="dxa"/>
            <w:vMerge/>
            <w:vAlign w:val="center"/>
          </w:tcPr>
          <w:p w14:paraId="1901C387" w14:textId="77777777" w:rsidR="008F6058" w:rsidRPr="004013B5" w:rsidRDefault="008F6058">
            <w:pPr>
              <w:rPr>
                <w:rFonts w:ascii="Times New Roman" w:eastAsia="宋体" w:hAnsi="Times New Roman"/>
                <w:sz w:val="18"/>
                <w:szCs w:val="18"/>
              </w:rPr>
            </w:pPr>
          </w:p>
        </w:tc>
        <w:tc>
          <w:tcPr>
            <w:tcW w:w="1332" w:type="dxa"/>
            <w:vMerge/>
            <w:vAlign w:val="center"/>
          </w:tcPr>
          <w:p w14:paraId="73B6CA3D" w14:textId="77777777" w:rsidR="008F6058" w:rsidRPr="004013B5" w:rsidRDefault="008F6058">
            <w:pPr>
              <w:jc w:val="center"/>
              <w:rPr>
                <w:rFonts w:ascii="Times New Roman" w:eastAsia="宋体" w:hAnsi="Times New Roman"/>
                <w:sz w:val="18"/>
                <w:szCs w:val="18"/>
              </w:rPr>
            </w:pPr>
          </w:p>
        </w:tc>
      </w:tr>
      <w:tr w:rsidR="008F6058" w:rsidRPr="004013B5" w14:paraId="0FA43D62" w14:textId="77777777">
        <w:trPr>
          <w:trHeight w:val="1048"/>
          <w:jc w:val="center"/>
        </w:trPr>
        <w:tc>
          <w:tcPr>
            <w:tcW w:w="1356" w:type="dxa"/>
            <w:vMerge/>
            <w:vAlign w:val="center"/>
          </w:tcPr>
          <w:p w14:paraId="3AB7E27D" w14:textId="77777777" w:rsidR="008F6058" w:rsidRPr="004013B5" w:rsidRDefault="008F6058">
            <w:pPr>
              <w:rPr>
                <w:rFonts w:ascii="Times New Roman" w:eastAsia="宋体" w:hAnsi="Times New Roman"/>
                <w:sz w:val="18"/>
                <w:szCs w:val="18"/>
              </w:rPr>
            </w:pPr>
          </w:p>
        </w:tc>
        <w:tc>
          <w:tcPr>
            <w:tcW w:w="1630" w:type="dxa"/>
            <w:vMerge/>
            <w:vAlign w:val="center"/>
          </w:tcPr>
          <w:p w14:paraId="3B789BD8" w14:textId="77777777" w:rsidR="008F6058" w:rsidRPr="004013B5" w:rsidRDefault="008F6058">
            <w:pPr>
              <w:rPr>
                <w:rFonts w:ascii="Times New Roman" w:eastAsia="宋体" w:hAnsi="Times New Roman"/>
                <w:sz w:val="18"/>
                <w:szCs w:val="18"/>
              </w:rPr>
            </w:pPr>
          </w:p>
        </w:tc>
        <w:tc>
          <w:tcPr>
            <w:tcW w:w="2491" w:type="dxa"/>
            <w:vMerge/>
            <w:vAlign w:val="center"/>
          </w:tcPr>
          <w:p w14:paraId="1CFF7D6B" w14:textId="77777777" w:rsidR="008F6058" w:rsidRPr="004013B5" w:rsidRDefault="008F6058">
            <w:pPr>
              <w:rPr>
                <w:rFonts w:ascii="Times New Roman" w:eastAsia="宋体" w:hAnsi="Times New Roman"/>
                <w:sz w:val="18"/>
                <w:szCs w:val="18"/>
              </w:rPr>
            </w:pPr>
          </w:p>
        </w:tc>
        <w:tc>
          <w:tcPr>
            <w:tcW w:w="2376" w:type="dxa"/>
            <w:vAlign w:val="center"/>
          </w:tcPr>
          <w:p w14:paraId="107B4472" w14:textId="77777777" w:rsidR="008F6058" w:rsidRPr="004013B5" w:rsidRDefault="00664EDD">
            <w:pPr>
              <w:rPr>
                <w:rFonts w:ascii="Times New Roman" w:eastAsia="宋体" w:hAnsi="Times New Roman"/>
                <w:sz w:val="18"/>
                <w:szCs w:val="18"/>
              </w:rPr>
            </w:pPr>
            <w:r w:rsidRPr="004013B5">
              <w:rPr>
                <w:rFonts w:ascii="Times New Roman" w:eastAsia="宋体" w:hAnsi="Times New Roman"/>
                <w:sz w:val="18"/>
                <w:szCs w:val="18"/>
              </w:rPr>
              <w:t>水质评价超标</w:t>
            </w:r>
            <w:proofErr w:type="gramStart"/>
            <w:r w:rsidRPr="004013B5">
              <w:rPr>
                <w:rFonts w:ascii="Times New Roman" w:eastAsia="宋体" w:hAnsi="Times New Roman"/>
                <w:sz w:val="18"/>
                <w:szCs w:val="18"/>
              </w:rPr>
              <w:t>且人体</w:t>
            </w:r>
            <w:proofErr w:type="gramEnd"/>
            <w:r w:rsidRPr="004013B5">
              <w:rPr>
                <w:rFonts w:ascii="Times New Roman" w:eastAsia="宋体" w:hAnsi="Times New Roman"/>
                <w:sz w:val="18"/>
                <w:szCs w:val="18"/>
              </w:rPr>
              <w:t>健康风险评价指数</w:t>
            </w:r>
            <w:r w:rsidRPr="004013B5">
              <w:rPr>
                <w:rFonts w:ascii="Times New Roman" w:eastAsia="宋体" w:hAnsi="Times New Roman" w:hint="eastAsia"/>
                <w:sz w:val="18"/>
                <w:szCs w:val="18"/>
              </w:rPr>
              <w:t>（</w:t>
            </w:r>
            <w:r w:rsidRPr="004013B5">
              <w:rPr>
                <w:rFonts w:ascii="Times New Roman" w:eastAsia="宋体" w:hAnsi="Times New Roman"/>
                <w:sz w:val="18"/>
                <w:szCs w:val="18"/>
              </w:rPr>
              <w:t>至少有一项</w:t>
            </w:r>
            <w:r w:rsidRPr="004013B5">
              <w:rPr>
                <w:rFonts w:ascii="Times New Roman" w:eastAsia="宋体" w:hAnsi="Times New Roman" w:hint="eastAsia"/>
                <w:sz w:val="18"/>
                <w:szCs w:val="18"/>
              </w:rPr>
              <w:t>）均</w:t>
            </w:r>
            <w:r w:rsidRPr="004013B5">
              <w:rPr>
                <w:rFonts w:ascii="Times New Roman" w:eastAsia="宋体" w:hAnsi="Times New Roman"/>
                <w:sz w:val="18"/>
                <w:szCs w:val="18"/>
              </w:rPr>
              <w:t>存在风险。</w:t>
            </w:r>
          </w:p>
        </w:tc>
        <w:tc>
          <w:tcPr>
            <w:tcW w:w="1332" w:type="dxa"/>
            <w:vAlign w:val="center"/>
          </w:tcPr>
          <w:p w14:paraId="63FD8355" w14:textId="77777777" w:rsidR="008F6058" w:rsidRPr="004013B5" w:rsidRDefault="00664EDD">
            <w:pPr>
              <w:jc w:val="center"/>
              <w:rPr>
                <w:rFonts w:ascii="Times New Roman" w:eastAsia="宋体" w:hAnsi="Times New Roman"/>
                <w:sz w:val="18"/>
                <w:szCs w:val="18"/>
              </w:rPr>
            </w:pPr>
            <w:r w:rsidRPr="004013B5">
              <w:rPr>
                <w:rFonts w:ascii="Times New Roman" w:eastAsia="宋体" w:hAnsi="Times New Roman"/>
                <w:sz w:val="18"/>
                <w:szCs w:val="18"/>
              </w:rPr>
              <w:t>重度</w:t>
            </w:r>
          </w:p>
        </w:tc>
      </w:tr>
    </w:tbl>
    <w:p w14:paraId="2AD3827D" w14:textId="77777777" w:rsidR="008F6058" w:rsidRPr="004013B5" w:rsidRDefault="00664EDD">
      <w:pPr>
        <w:spacing w:beforeLines="100" w:before="312" w:afterLines="100" w:after="312"/>
        <w:outlineLvl w:val="0"/>
        <w:rPr>
          <w:rFonts w:ascii="黑体" w:eastAsia="黑体" w:hAnsi="黑体" w:cs="Times New Roman"/>
          <w:b/>
          <w:bCs/>
          <w:szCs w:val="21"/>
        </w:rPr>
      </w:pPr>
      <w:bookmarkStart w:id="28" w:name="_Toc142689402"/>
      <w:r w:rsidRPr="004013B5">
        <w:rPr>
          <w:rFonts w:ascii="黑体" w:eastAsia="黑体" w:hAnsi="黑体" w:cs="Times New Roman"/>
          <w:b/>
          <w:bCs/>
          <w:szCs w:val="21"/>
        </w:rPr>
        <w:t xml:space="preserve">7 </w:t>
      </w:r>
      <w:r w:rsidRPr="004013B5">
        <w:rPr>
          <w:rFonts w:ascii="黑体" w:eastAsia="黑体" w:hAnsi="黑体" w:cs="Times New Roman" w:hint="eastAsia"/>
          <w:b/>
          <w:bCs/>
          <w:szCs w:val="21"/>
        </w:rPr>
        <w:t>土壤</w:t>
      </w:r>
      <w:r w:rsidRPr="004013B5">
        <w:rPr>
          <w:rFonts w:ascii="黑体" w:eastAsia="黑体" w:hAnsi="黑体" w:cs="Times New Roman"/>
          <w:b/>
          <w:bCs/>
          <w:szCs w:val="21"/>
        </w:rPr>
        <w:t>-地下水污染迁移规律</w:t>
      </w:r>
      <w:bookmarkEnd w:id="28"/>
    </w:p>
    <w:p w14:paraId="0F41BD7F"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土壤污染物通过渗滤、扩散等作用进入地下水，而地下水中污染物通过扩散、毛细吸附等作用进入土壤。实施有色冶炼场地土壤和地下水协同修复的关键在于掌握场地土壤</w:t>
      </w:r>
      <w:r w:rsidRPr="004013B5">
        <w:rPr>
          <w:rFonts w:ascii="Times New Roman" w:eastAsia="宋体" w:hAnsi="Times New Roman" w:cs="Times New Roman"/>
          <w:szCs w:val="21"/>
        </w:rPr>
        <w:t>-</w:t>
      </w:r>
      <w:r w:rsidRPr="004013B5">
        <w:rPr>
          <w:rFonts w:ascii="Times New Roman" w:eastAsia="宋体" w:hAnsi="Times New Roman" w:cs="Times New Roman"/>
          <w:szCs w:val="21"/>
        </w:rPr>
        <w:t>地下水重金属污染迁移规律。掌握场地土壤</w:t>
      </w:r>
      <w:r w:rsidRPr="004013B5">
        <w:rPr>
          <w:rFonts w:ascii="Times New Roman" w:eastAsia="宋体" w:hAnsi="Times New Roman" w:cs="Times New Roman"/>
          <w:szCs w:val="21"/>
        </w:rPr>
        <w:t>-</w:t>
      </w:r>
      <w:r w:rsidRPr="004013B5">
        <w:rPr>
          <w:rFonts w:ascii="Times New Roman" w:eastAsia="宋体" w:hAnsi="Times New Roman" w:cs="Times New Roman"/>
          <w:szCs w:val="21"/>
        </w:rPr>
        <w:t>地下水污染迁移规律的主要通过数值模拟手段建立优化迁移模型，工作内容包括揭示重金属在包气带中迁移规律、污染迁移趋势预测。</w:t>
      </w:r>
    </w:p>
    <w:p w14:paraId="680F5A92" w14:textId="5631F9CA" w:rsidR="008F6058" w:rsidRPr="004013B5" w:rsidRDefault="00664EDD" w:rsidP="002336D1">
      <w:pPr>
        <w:spacing w:beforeLines="50" w:before="156" w:afterLines="50" w:after="156"/>
        <w:outlineLvl w:val="1"/>
        <w:rPr>
          <w:rFonts w:ascii="黑体" w:eastAsia="黑体" w:hAnsi="黑体" w:cs="Times New Roman"/>
          <w:szCs w:val="21"/>
        </w:rPr>
      </w:pPr>
      <w:bookmarkStart w:id="29" w:name="_Toc142689403"/>
      <w:r w:rsidRPr="004013B5">
        <w:rPr>
          <w:rFonts w:ascii="黑体" w:eastAsia="黑体" w:hAnsi="黑体" w:cs="Times New Roman"/>
          <w:szCs w:val="21"/>
        </w:rPr>
        <w:t>7.1</w:t>
      </w:r>
      <w:r w:rsidR="002A34F5" w:rsidRPr="004013B5">
        <w:rPr>
          <w:rFonts w:ascii="黑体" w:eastAsia="黑体" w:hAnsi="黑体" w:cs="Times New Roman"/>
          <w:szCs w:val="21"/>
        </w:rPr>
        <w:t xml:space="preserve"> </w:t>
      </w:r>
      <w:r w:rsidRPr="004013B5">
        <w:rPr>
          <w:rFonts w:ascii="黑体" w:eastAsia="黑体" w:hAnsi="黑体" w:cs="Times New Roman" w:hint="eastAsia"/>
          <w:szCs w:val="21"/>
        </w:rPr>
        <w:t>包气带中迁移规律</w:t>
      </w:r>
      <w:bookmarkEnd w:id="29"/>
    </w:p>
    <w:p w14:paraId="30127E0A" w14:textId="7B9EBC59"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对于</w:t>
      </w:r>
      <w:r w:rsidR="006B1AA6">
        <w:rPr>
          <w:rFonts w:ascii="Times New Roman" w:eastAsia="宋体" w:hAnsi="Times New Roman" w:cs="Times New Roman" w:hint="eastAsia"/>
          <w:szCs w:val="21"/>
        </w:rPr>
        <w:t>有色金属冶炼场地土壤</w:t>
      </w:r>
      <w:r w:rsidR="006B1AA6">
        <w:rPr>
          <w:rFonts w:ascii="Times New Roman" w:eastAsia="宋体" w:hAnsi="Times New Roman" w:cs="Times New Roman" w:hint="eastAsia"/>
          <w:szCs w:val="21"/>
        </w:rPr>
        <w:t>-</w:t>
      </w:r>
      <w:r w:rsidR="006B1AA6">
        <w:rPr>
          <w:rFonts w:ascii="Times New Roman" w:eastAsia="宋体" w:hAnsi="Times New Roman" w:cs="Times New Roman" w:hint="eastAsia"/>
          <w:szCs w:val="21"/>
        </w:rPr>
        <w:t>地下水</w:t>
      </w:r>
      <w:r w:rsidRPr="004013B5">
        <w:rPr>
          <w:rFonts w:ascii="Times New Roman" w:eastAsia="宋体" w:hAnsi="Times New Roman" w:cs="Times New Roman"/>
          <w:szCs w:val="21"/>
        </w:rPr>
        <w:t>协同修复工程的实施，应在场地调查阶段开展包气带污染现状</w:t>
      </w:r>
      <w:r w:rsidRPr="004013B5">
        <w:rPr>
          <w:rFonts w:ascii="Times New Roman" w:eastAsia="宋体" w:hAnsi="Times New Roman" w:cs="Times New Roman"/>
          <w:szCs w:val="21"/>
        </w:rPr>
        <w:lastRenderedPageBreak/>
        <w:t>调查，分析包气带污染状况。</w:t>
      </w:r>
      <w:proofErr w:type="gramStart"/>
      <w:r w:rsidRPr="004013B5">
        <w:rPr>
          <w:rFonts w:ascii="Times New Roman" w:eastAsia="宋体" w:hAnsi="Times New Roman" w:cs="Times New Roman"/>
          <w:szCs w:val="21"/>
        </w:rPr>
        <w:t>厘</w:t>
      </w:r>
      <w:proofErr w:type="gramEnd"/>
      <w:r w:rsidRPr="004013B5">
        <w:rPr>
          <w:rFonts w:ascii="Times New Roman" w:eastAsia="宋体" w:hAnsi="Times New Roman" w:cs="Times New Roman"/>
          <w:szCs w:val="21"/>
        </w:rPr>
        <w:t>清场地重金属污染在包气带中迁移规律，是实现污染趋势预测的关键，也是确定土壤</w:t>
      </w:r>
      <w:r w:rsidRPr="004013B5">
        <w:rPr>
          <w:rFonts w:ascii="Times New Roman" w:eastAsia="宋体" w:hAnsi="Times New Roman" w:cs="Times New Roman"/>
          <w:szCs w:val="21"/>
        </w:rPr>
        <w:t>-</w:t>
      </w:r>
      <w:r w:rsidRPr="004013B5">
        <w:rPr>
          <w:rFonts w:ascii="Times New Roman" w:eastAsia="宋体" w:hAnsi="Times New Roman" w:cs="Times New Roman"/>
          <w:szCs w:val="21"/>
        </w:rPr>
        <w:t>地下水协同修复技术的关键。</w:t>
      </w:r>
    </w:p>
    <w:p w14:paraId="507A07CB" w14:textId="058FCD53"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7.1.1</w:t>
      </w:r>
      <w:r w:rsidR="002111D2" w:rsidRPr="004013B5">
        <w:rPr>
          <w:rFonts w:ascii="Times New Roman" w:eastAsia="宋体" w:hAnsi="Times New Roman" w:cs="Times New Roman"/>
          <w:szCs w:val="21"/>
        </w:rPr>
        <w:t xml:space="preserve"> </w:t>
      </w:r>
      <w:r w:rsidRPr="004013B5">
        <w:rPr>
          <w:rFonts w:ascii="Times New Roman" w:eastAsia="宋体" w:hAnsi="Times New Roman" w:cs="Times New Roman" w:hint="eastAsia"/>
          <w:szCs w:val="21"/>
        </w:rPr>
        <w:t>实验室模拟实验</w:t>
      </w:r>
    </w:p>
    <w:p w14:paraId="7489DF7E"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即通过搭建土壤柱、箱等形式，获取场地岩心或者建立类似的地下场景等模拟实验来研究污染物的运移。</w:t>
      </w:r>
    </w:p>
    <w:p w14:paraId="684FE26D"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 xml:space="preserve">7.1.2 </w:t>
      </w:r>
      <w:r w:rsidRPr="004013B5">
        <w:rPr>
          <w:rFonts w:ascii="Times New Roman" w:eastAsia="宋体" w:hAnsi="Times New Roman" w:cs="Times New Roman"/>
          <w:szCs w:val="21"/>
        </w:rPr>
        <w:t>数值模拟</w:t>
      </w:r>
    </w:p>
    <w:p w14:paraId="5BAE60F6"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数值模拟是以场地调查获取的多源数据（包括场地的水文地质条件、土壤地下水污染数据、边界条件、“源汇项”与“源汇”关系等）为基础，选择适配场地的理论方程（主要有达西定律、理查德方程和地下水溶质运移菲克定律等），通过数据模拟软件，经由模型校正和验证，进而实现污染分布及扩散的预测等。在数值模拟的过程中，根据建模过程中所涉及影响因素的差异，数值模拟又可以分为三类。包括</w:t>
      </w:r>
      <w:r w:rsidRPr="004013B5">
        <w:rPr>
          <w:rFonts w:ascii="Times New Roman" w:eastAsia="宋体" w:hAnsi="Times New Roman" w:cs="Times New Roman"/>
          <w:szCs w:val="21"/>
        </w:rPr>
        <w:t>a.</w:t>
      </w:r>
      <w:r w:rsidRPr="004013B5">
        <w:rPr>
          <w:rFonts w:ascii="Times New Roman" w:eastAsia="宋体" w:hAnsi="Times New Roman" w:cs="Times New Roman"/>
          <w:szCs w:val="21"/>
        </w:rPr>
        <w:t>以物理过程为基础的地下水动力学模型，</w:t>
      </w:r>
      <w:r w:rsidRPr="004013B5">
        <w:rPr>
          <w:rFonts w:ascii="Times New Roman" w:eastAsia="宋体" w:hAnsi="Times New Roman" w:cs="Times New Roman"/>
          <w:szCs w:val="21"/>
        </w:rPr>
        <w:t>b.</w:t>
      </w:r>
      <w:r w:rsidRPr="004013B5">
        <w:rPr>
          <w:rFonts w:ascii="Times New Roman" w:eastAsia="宋体" w:hAnsi="Times New Roman" w:cs="Times New Roman"/>
          <w:szCs w:val="21"/>
        </w:rPr>
        <w:t>结合地球化学统计和有限元法的数值模拟的溶质运移模拟，</w:t>
      </w:r>
      <w:r w:rsidRPr="004013B5">
        <w:rPr>
          <w:rFonts w:ascii="Times New Roman" w:eastAsia="宋体" w:hAnsi="Times New Roman" w:cs="Times New Roman"/>
          <w:szCs w:val="21"/>
        </w:rPr>
        <w:t>c.</w:t>
      </w:r>
      <w:r w:rsidRPr="004013B5">
        <w:rPr>
          <w:rFonts w:ascii="Times New Roman" w:eastAsia="宋体" w:hAnsi="Times New Roman" w:cs="Times New Roman"/>
          <w:szCs w:val="21"/>
        </w:rPr>
        <w:t>反应性溶质运移模型是综合考虑土壤地下水系统中的物理、</w:t>
      </w:r>
      <w:r w:rsidRPr="004013B5">
        <w:rPr>
          <w:rFonts w:ascii="Times New Roman" w:eastAsia="宋体" w:hAnsi="Times New Roman" w:cs="Times New Roman" w:hint="eastAsia"/>
          <w:szCs w:val="21"/>
        </w:rPr>
        <w:t>化学、生物过程污染建模活动。</w:t>
      </w:r>
    </w:p>
    <w:p w14:paraId="4BCAB6C0" w14:textId="65338C0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7.1.3</w:t>
      </w:r>
      <w:r w:rsidR="002111D2" w:rsidRPr="004013B5">
        <w:rPr>
          <w:rFonts w:ascii="Times New Roman" w:eastAsia="宋体" w:hAnsi="Times New Roman" w:cs="Times New Roman"/>
          <w:szCs w:val="21"/>
        </w:rPr>
        <w:t xml:space="preserve"> </w:t>
      </w:r>
      <w:r w:rsidRPr="004013B5">
        <w:rPr>
          <w:rFonts w:ascii="Times New Roman" w:eastAsia="宋体" w:hAnsi="Times New Roman" w:cs="Times New Roman"/>
          <w:szCs w:val="21"/>
        </w:rPr>
        <w:t>现场示踪技术</w:t>
      </w:r>
    </w:p>
    <w:p w14:paraId="3AD1C77B"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同位素或其他类型的示踪技术有助于了解含水层结构，并跟踪地下水循环和污染物迁移。但复杂的水文地质条件导致原位示踪技术一般耗时较长且实验结果存在诸多不确定。</w:t>
      </w:r>
    </w:p>
    <w:p w14:paraId="1CDE8A75" w14:textId="564898B7" w:rsidR="008F6058" w:rsidRPr="004013B5" w:rsidRDefault="00664EDD" w:rsidP="002336D1">
      <w:pPr>
        <w:spacing w:beforeLines="50" w:before="156" w:afterLines="50" w:after="156"/>
        <w:outlineLvl w:val="1"/>
        <w:rPr>
          <w:rFonts w:ascii="黑体" w:eastAsia="黑体" w:hAnsi="黑体" w:cs="Times New Roman"/>
          <w:szCs w:val="21"/>
        </w:rPr>
      </w:pPr>
      <w:bookmarkStart w:id="30" w:name="_Toc142689404"/>
      <w:r w:rsidRPr="004013B5">
        <w:rPr>
          <w:rFonts w:ascii="黑体" w:eastAsia="黑体" w:hAnsi="黑体" w:cs="Times New Roman"/>
          <w:szCs w:val="21"/>
        </w:rPr>
        <w:t>7.2</w:t>
      </w:r>
      <w:r w:rsidR="002A34F5" w:rsidRPr="004013B5">
        <w:rPr>
          <w:rFonts w:ascii="黑体" w:eastAsia="黑体" w:hAnsi="黑体" w:cs="Times New Roman"/>
          <w:szCs w:val="21"/>
        </w:rPr>
        <w:t xml:space="preserve"> </w:t>
      </w:r>
      <w:r w:rsidRPr="004013B5">
        <w:rPr>
          <w:rFonts w:ascii="黑体" w:eastAsia="黑体" w:hAnsi="黑体" w:cs="Times New Roman" w:hint="eastAsia"/>
          <w:szCs w:val="21"/>
        </w:rPr>
        <w:t>污染迁移趋势预测</w:t>
      </w:r>
      <w:bookmarkEnd w:id="30"/>
    </w:p>
    <w:p w14:paraId="20727D01"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建立有色冶炼场地（包含其周边影响区域）的重金属污染迁移趋势预测数值模型，是掌握有色冶炼场地对周边区域及敏感环境受体影响状况的有效手段，同时也可以实现对修复技术的确定及技术组配方式的设计，进而针对修复技术的长效性进行可行性分析。</w:t>
      </w:r>
    </w:p>
    <w:p w14:paraId="63324250"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7.2.1</w:t>
      </w:r>
      <w:r w:rsidRPr="004013B5">
        <w:rPr>
          <w:rFonts w:ascii="Times New Roman" w:eastAsia="宋体" w:hAnsi="Times New Roman" w:cs="Times New Roman"/>
          <w:szCs w:val="21"/>
        </w:rPr>
        <w:t>主要工作程序</w:t>
      </w:r>
    </w:p>
    <w:p w14:paraId="1A26E4AF"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建立污染迁移趋势预测数值模型的主要工作程序包括区域水文地质条件概化、研究区边界条件概化、地下水运动状态概化、污染运移过程概化、数值模拟参数的确定、模型准确性检验与参数校正。</w:t>
      </w:r>
    </w:p>
    <w:p w14:paraId="611FDD72"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7.2.2</w:t>
      </w:r>
      <w:r w:rsidRPr="004013B5">
        <w:rPr>
          <w:rFonts w:ascii="Times New Roman" w:eastAsia="宋体" w:hAnsi="Times New Roman" w:cs="Times New Roman"/>
          <w:szCs w:val="21"/>
        </w:rPr>
        <w:t>常用的迁移趋势预测数值模拟参数</w:t>
      </w:r>
    </w:p>
    <w:p w14:paraId="1E7F5062"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包括空间展布相关资料（地表高程、分层数据、边界位置）；含水层参数（渗透系数、弹性释水系数、孔隙度）；源汇项（大气降水入渗系数、蒸发排泄系数）；地表水体（水位、底面高程、底面岩性特征）；人工开采情况（开采井位置、井结构、开采量）；边界条件（边界类型、水头或流量）；初始条件（统测水位）；水位动态观测资料（观测孔位置、结构、水位时间变化）。</w:t>
      </w:r>
    </w:p>
    <w:p w14:paraId="153B7DA5"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7.2.3</w:t>
      </w:r>
      <w:r w:rsidRPr="004013B5">
        <w:rPr>
          <w:rFonts w:ascii="Times New Roman" w:eastAsia="宋体" w:hAnsi="Times New Roman" w:cs="Times New Roman"/>
          <w:szCs w:val="21"/>
        </w:rPr>
        <w:t>建立概念模型</w:t>
      </w:r>
    </w:p>
    <w:p w14:paraId="264FE5B4"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根据详细的地形地貌、地质、水文地质、构造地质、水文地球化学、岩石矿物、水文、气象、工农业利用情况等，确定所模拟的区域大小，含水层层数，维数</w:t>
      </w:r>
      <w:r w:rsidRPr="004013B5">
        <w:rPr>
          <w:rFonts w:ascii="Times New Roman" w:eastAsia="宋体" w:hAnsi="Times New Roman" w:cs="Times New Roman"/>
          <w:szCs w:val="21"/>
        </w:rPr>
        <w:t>(</w:t>
      </w:r>
      <w:r w:rsidRPr="004013B5">
        <w:rPr>
          <w:rFonts w:ascii="Times New Roman" w:eastAsia="宋体" w:hAnsi="Times New Roman" w:cs="Times New Roman"/>
          <w:szCs w:val="21"/>
        </w:rPr>
        <w:t>一维、二维、三维</w:t>
      </w:r>
      <w:r w:rsidRPr="004013B5">
        <w:rPr>
          <w:rFonts w:ascii="Times New Roman" w:eastAsia="宋体" w:hAnsi="Times New Roman" w:cs="Times New Roman"/>
          <w:szCs w:val="21"/>
        </w:rPr>
        <w:t>)</w:t>
      </w:r>
      <w:r w:rsidRPr="004013B5">
        <w:rPr>
          <w:rFonts w:ascii="Times New Roman" w:eastAsia="宋体" w:hAnsi="Times New Roman" w:cs="Times New Roman"/>
          <w:szCs w:val="21"/>
        </w:rPr>
        <w:t>，水流状态</w:t>
      </w:r>
      <w:r w:rsidRPr="004013B5">
        <w:rPr>
          <w:rFonts w:ascii="Times New Roman" w:eastAsia="宋体" w:hAnsi="Times New Roman" w:cs="Times New Roman"/>
          <w:szCs w:val="21"/>
        </w:rPr>
        <w:t>(</w:t>
      </w:r>
      <w:r w:rsidRPr="004013B5">
        <w:rPr>
          <w:rFonts w:ascii="Times New Roman" w:eastAsia="宋体" w:hAnsi="Times New Roman" w:cs="Times New Roman"/>
          <w:szCs w:val="21"/>
        </w:rPr>
        <w:t>稳定流和非稳定流、饱和流和非饱和流</w:t>
      </w:r>
      <w:r w:rsidRPr="004013B5">
        <w:rPr>
          <w:rFonts w:ascii="Times New Roman" w:eastAsia="宋体" w:hAnsi="Times New Roman" w:cs="Times New Roman"/>
          <w:szCs w:val="21"/>
        </w:rPr>
        <w:t>)</w:t>
      </w:r>
      <w:r w:rsidRPr="004013B5">
        <w:rPr>
          <w:rFonts w:ascii="Times New Roman" w:eastAsia="宋体" w:hAnsi="Times New Roman" w:cs="Times New Roman"/>
          <w:szCs w:val="21"/>
        </w:rPr>
        <w:t>，介质状况</w:t>
      </w:r>
      <w:r w:rsidRPr="004013B5">
        <w:rPr>
          <w:rFonts w:ascii="Times New Roman" w:eastAsia="宋体" w:hAnsi="Times New Roman" w:cs="Times New Roman"/>
          <w:szCs w:val="21"/>
        </w:rPr>
        <w:t>(</w:t>
      </w:r>
      <w:r w:rsidRPr="004013B5">
        <w:rPr>
          <w:rFonts w:ascii="Times New Roman" w:eastAsia="宋体" w:hAnsi="Times New Roman" w:cs="Times New Roman"/>
          <w:szCs w:val="21"/>
        </w:rPr>
        <w:t>均质和非均质、各向同性和各向异性、孔隙、裂隙和双重介质、流体的密度差</w:t>
      </w:r>
      <w:r w:rsidRPr="004013B5">
        <w:rPr>
          <w:rFonts w:ascii="Times New Roman" w:eastAsia="宋体" w:hAnsi="Times New Roman" w:cs="Times New Roman"/>
          <w:szCs w:val="21"/>
        </w:rPr>
        <w:t>)</w:t>
      </w:r>
      <w:r w:rsidRPr="004013B5">
        <w:rPr>
          <w:rFonts w:ascii="Times New Roman" w:eastAsia="宋体" w:hAnsi="Times New Roman" w:cs="Times New Roman"/>
          <w:szCs w:val="21"/>
        </w:rPr>
        <w:t>，边界条件和初始条件等。必要时需进行一系列的室内试验与野外试验，以获取有关参数，如渗透系数、弥散系数、分配系数、反应速率常数等。</w:t>
      </w:r>
    </w:p>
    <w:p w14:paraId="622BFE29"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7.2.4</w:t>
      </w:r>
      <w:r w:rsidRPr="004013B5">
        <w:rPr>
          <w:rFonts w:ascii="Times New Roman" w:eastAsia="宋体" w:hAnsi="Times New Roman" w:cs="Times New Roman"/>
          <w:szCs w:val="21"/>
        </w:rPr>
        <w:t>数学模型的确定与数值化</w:t>
      </w:r>
    </w:p>
    <w:p w14:paraId="4CC24795"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根据概念模型进行选择。如一维、二维、三维数学模型，水流模型，溶质运移模型，反应模型，水动力</w:t>
      </w:r>
      <w:r w:rsidRPr="004013B5">
        <w:rPr>
          <w:rFonts w:ascii="Times New Roman" w:eastAsia="宋体" w:hAnsi="Times New Roman" w:cs="Times New Roman"/>
          <w:szCs w:val="21"/>
        </w:rPr>
        <w:t>-</w:t>
      </w:r>
      <w:r w:rsidRPr="004013B5">
        <w:rPr>
          <w:rFonts w:ascii="Times New Roman" w:eastAsia="宋体" w:hAnsi="Times New Roman" w:cs="Times New Roman"/>
          <w:szCs w:val="21"/>
        </w:rPr>
        <w:t>水质耦合模型，水动力</w:t>
      </w:r>
      <w:r w:rsidRPr="004013B5">
        <w:rPr>
          <w:rFonts w:ascii="Times New Roman" w:eastAsia="宋体" w:hAnsi="Times New Roman" w:cs="Times New Roman"/>
          <w:szCs w:val="21"/>
        </w:rPr>
        <w:t>-</w:t>
      </w:r>
      <w:r w:rsidRPr="004013B5">
        <w:rPr>
          <w:rFonts w:ascii="Times New Roman" w:eastAsia="宋体" w:hAnsi="Times New Roman" w:cs="Times New Roman"/>
          <w:szCs w:val="21"/>
        </w:rPr>
        <w:t>反应耦合模型，水动力</w:t>
      </w:r>
      <w:r w:rsidRPr="004013B5">
        <w:rPr>
          <w:rFonts w:ascii="Times New Roman" w:eastAsia="宋体" w:hAnsi="Times New Roman" w:cs="Times New Roman"/>
          <w:szCs w:val="21"/>
        </w:rPr>
        <w:t>-</w:t>
      </w:r>
      <w:r w:rsidRPr="004013B5">
        <w:rPr>
          <w:rFonts w:ascii="Times New Roman" w:eastAsia="宋体" w:hAnsi="Times New Roman" w:cs="Times New Roman"/>
          <w:szCs w:val="21"/>
        </w:rPr>
        <w:t>弥散</w:t>
      </w:r>
      <w:r w:rsidRPr="004013B5">
        <w:rPr>
          <w:rFonts w:ascii="Times New Roman" w:eastAsia="宋体" w:hAnsi="Times New Roman" w:cs="Times New Roman"/>
          <w:szCs w:val="21"/>
        </w:rPr>
        <w:t>-</w:t>
      </w:r>
      <w:r w:rsidRPr="004013B5">
        <w:rPr>
          <w:rFonts w:ascii="Times New Roman" w:eastAsia="宋体" w:hAnsi="Times New Roman" w:cs="Times New Roman"/>
          <w:szCs w:val="21"/>
        </w:rPr>
        <w:t>反应耦合模型。绝大部分数学模型是无法用解析法求解的。数值化就是将数学模型转化为可解的数值模型。常用数值化有有限单元法和有限差分法。</w:t>
      </w:r>
    </w:p>
    <w:p w14:paraId="5440ED0E"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7.2.5</w:t>
      </w:r>
      <w:r w:rsidRPr="004013B5">
        <w:rPr>
          <w:rFonts w:ascii="Times New Roman" w:eastAsia="宋体" w:hAnsi="Times New Roman" w:cs="Times New Roman"/>
          <w:szCs w:val="21"/>
        </w:rPr>
        <w:t>模型校正</w:t>
      </w:r>
    </w:p>
    <w:p w14:paraId="59D30854"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将模拟结果与实测结果比较，进行参数调整，使模拟结果在给定的误差范围内与实测结果吻合。</w:t>
      </w:r>
      <w:proofErr w:type="gramStart"/>
      <w:r w:rsidRPr="004013B5">
        <w:rPr>
          <w:rFonts w:ascii="Times New Roman" w:eastAsia="宋体" w:hAnsi="Times New Roman" w:cs="Times New Roman" w:hint="eastAsia"/>
          <w:szCs w:val="21"/>
        </w:rPr>
        <w:t>调参过程</w:t>
      </w:r>
      <w:proofErr w:type="gramEnd"/>
      <w:r w:rsidRPr="004013B5">
        <w:rPr>
          <w:rFonts w:ascii="Times New Roman" w:eastAsia="宋体" w:hAnsi="Times New Roman" w:cs="Times New Roman" w:hint="eastAsia"/>
          <w:szCs w:val="21"/>
        </w:rPr>
        <w:t>是一个复杂而辛苦的工作，所调整的参数必须符合</w:t>
      </w:r>
      <w:proofErr w:type="gramStart"/>
      <w:r w:rsidRPr="004013B5">
        <w:rPr>
          <w:rFonts w:ascii="Times New Roman" w:eastAsia="宋体" w:hAnsi="Times New Roman" w:cs="Times New Roman" w:hint="eastAsia"/>
          <w:szCs w:val="21"/>
        </w:rPr>
        <w:t>模拟区</w:t>
      </w:r>
      <w:proofErr w:type="gramEnd"/>
      <w:r w:rsidRPr="004013B5">
        <w:rPr>
          <w:rFonts w:ascii="Times New Roman" w:eastAsia="宋体" w:hAnsi="Times New Roman" w:cs="Times New Roman" w:hint="eastAsia"/>
          <w:szCs w:val="21"/>
        </w:rPr>
        <w:t>的具体情况。所幸的是，最近国外已花费巨力开发研究了</w:t>
      </w:r>
      <w:proofErr w:type="gramStart"/>
      <w:r w:rsidRPr="004013B5">
        <w:rPr>
          <w:rFonts w:ascii="Times New Roman" w:eastAsia="宋体" w:hAnsi="Times New Roman" w:cs="Times New Roman" w:hint="eastAsia"/>
          <w:szCs w:val="21"/>
        </w:rPr>
        <w:t>自动调参程序</w:t>
      </w:r>
      <w:proofErr w:type="gramEnd"/>
      <w:r w:rsidRPr="004013B5">
        <w:rPr>
          <w:rFonts w:ascii="Times New Roman" w:eastAsia="宋体" w:hAnsi="Times New Roman" w:cs="Times New Roman"/>
          <w:szCs w:val="21"/>
        </w:rPr>
        <w:t>，大大提高了模拟者的工作效率。校正后的模型受参数值的时空分布、边界条件、水流状态等不确定度的影响。灵敏度分析就是为了确定不确定度对校正模型的影响程度。模型验证是在模型校正的基础上，进一步调整参数，使模拟结果与第二次实测结果吻合，以进一步提高模型的置信度。</w:t>
      </w:r>
    </w:p>
    <w:p w14:paraId="0FF35AFB" w14:textId="77777777" w:rsidR="008F6058" w:rsidRPr="004013B5" w:rsidRDefault="00664EDD">
      <w:pPr>
        <w:spacing w:beforeLines="100" w:before="312" w:afterLines="100" w:after="312"/>
        <w:outlineLvl w:val="0"/>
        <w:rPr>
          <w:rFonts w:ascii="黑体" w:eastAsia="黑体" w:hAnsi="黑体" w:cs="Times New Roman"/>
          <w:b/>
          <w:bCs/>
          <w:szCs w:val="21"/>
        </w:rPr>
      </w:pPr>
      <w:bookmarkStart w:id="31" w:name="_Toc142689405"/>
      <w:r w:rsidRPr="004013B5">
        <w:rPr>
          <w:rFonts w:ascii="黑体" w:eastAsia="黑体" w:hAnsi="黑体" w:cs="Times New Roman"/>
          <w:b/>
          <w:bCs/>
          <w:szCs w:val="21"/>
        </w:rPr>
        <w:t xml:space="preserve">8 </w:t>
      </w:r>
      <w:r w:rsidRPr="004013B5">
        <w:rPr>
          <w:rFonts w:ascii="黑体" w:eastAsia="黑体" w:hAnsi="黑体" w:cs="Times New Roman" w:hint="eastAsia"/>
          <w:b/>
          <w:bCs/>
          <w:szCs w:val="21"/>
        </w:rPr>
        <w:t>制定协同修复策略</w:t>
      </w:r>
      <w:bookmarkEnd w:id="31"/>
    </w:p>
    <w:p w14:paraId="05F60835" w14:textId="3A17989F" w:rsidR="008F6058" w:rsidRPr="004013B5" w:rsidRDefault="00664EDD" w:rsidP="002336D1">
      <w:pPr>
        <w:spacing w:beforeLines="50" w:before="156" w:afterLines="50" w:after="156"/>
        <w:outlineLvl w:val="1"/>
        <w:rPr>
          <w:rFonts w:ascii="黑体" w:eastAsia="黑体" w:hAnsi="黑体" w:cs="Times New Roman"/>
          <w:szCs w:val="21"/>
        </w:rPr>
      </w:pPr>
      <w:bookmarkStart w:id="32" w:name="_Toc142689406"/>
      <w:r w:rsidRPr="004013B5">
        <w:rPr>
          <w:rFonts w:ascii="黑体" w:eastAsia="黑体" w:hAnsi="黑体" w:cs="Times New Roman"/>
          <w:szCs w:val="21"/>
        </w:rPr>
        <w:lastRenderedPageBreak/>
        <w:t>8.1</w:t>
      </w:r>
      <w:r w:rsidR="002A34F5" w:rsidRPr="004013B5">
        <w:rPr>
          <w:rFonts w:ascii="黑体" w:eastAsia="黑体" w:hAnsi="黑体" w:cs="Times New Roman"/>
          <w:szCs w:val="21"/>
        </w:rPr>
        <w:t xml:space="preserve"> </w:t>
      </w:r>
      <w:r w:rsidRPr="004013B5">
        <w:rPr>
          <w:rFonts w:ascii="黑体" w:eastAsia="黑体" w:hAnsi="黑体" w:cs="Times New Roman" w:hint="eastAsia"/>
          <w:szCs w:val="21"/>
        </w:rPr>
        <w:t>协同修复策略遵循的原则</w:t>
      </w:r>
      <w:bookmarkEnd w:id="32"/>
    </w:p>
    <w:p w14:paraId="4AA5957F"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有色冶炼场地土壤和地下水修复技术的筛选需要考虑多种因素，地修复策略是指以风险管理为核心，将污染造成的健康和生态风险控制在可接受范围内的场地总体修复思路，包括采用污染源处理技术、切断暴露途径的工程控制技术以及限制受体暴露行为的制度控制技术</w:t>
      </w:r>
      <w:r w:rsidRPr="004013B5">
        <w:rPr>
          <w:rFonts w:ascii="Times New Roman" w:eastAsia="宋体" w:hAnsi="Times New Roman" w:cs="Times New Roman"/>
          <w:szCs w:val="21"/>
        </w:rPr>
        <w:t>3</w:t>
      </w:r>
      <w:r w:rsidRPr="004013B5">
        <w:rPr>
          <w:rFonts w:ascii="Times New Roman" w:eastAsia="宋体" w:hAnsi="Times New Roman" w:cs="Times New Roman"/>
          <w:szCs w:val="21"/>
        </w:rPr>
        <w:t>种修复模式中的任意一种或其组合。</w:t>
      </w:r>
    </w:p>
    <w:p w14:paraId="4D650479"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8.1.1</w:t>
      </w:r>
      <w:r w:rsidRPr="004013B5">
        <w:rPr>
          <w:rFonts w:ascii="Times New Roman" w:eastAsia="宋体" w:hAnsi="Times New Roman" w:cs="Times New Roman" w:hint="eastAsia"/>
          <w:szCs w:val="21"/>
        </w:rPr>
        <w:t>协同性原则</w:t>
      </w:r>
    </w:p>
    <w:p w14:paraId="37697FE8"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土壤和地下水协同修复可以大幅缩短场地修复周期，也减少了修复工程实施对场地的二次损害。针对土壤和地下水协同修复目标，结合现阶段国内外常用的修复方法，耦合与优化现有的污染土壤与地下水治理修复技术，进一步解决技术与成本问题。</w:t>
      </w:r>
    </w:p>
    <w:p w14:paraId="655CBAF9"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8.1.2</w:t>
      </w:r>
      <w:r w:rsidRPr="004013B5">
        <w:rPr>
          <w:rFonts w:ascii="Times New Roman" w:eastAsia="宋体" w:hAnsi="Times New Roman" w:cs="Times New Roman" w:hint="eastAsia"/>
          <w:szCs w:val="21"/>
        </w:rPr>
        <w:t>适应性原则</w:t>
      </w:r>
    </w:p>
    <w:p w14:paraId="317DDE8A"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与场地未来的用地发展规划、开发方式、时间进度相结合。应与场地相关利益方进行充分交流和沟通，确认场地未来的用地发展规划、场地开发方式、时间进度、是否允许原位修复、修复后土壤的再利用或处置方式等。</w:t>
      </w:r>
    </w:p>
    <w:p w14:paraId="44CF262E"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hint="eastAsia"/>
          <w:szCs w:val="21"/>
        </w:rPr>
        <w:t>8</w:t>
      </w:r>
      <w:r w:rsidRPr="004013B5">
        <w:rPr>
          <w:rFonts w:ascii="Times New Roman" w:eastAsia="宋体" w:hAnsi="Times New Roman" w:cs="Times New Roman"/>
          <w:szCs w:val="21"/>
        </w:rPr>
        <w:t>.1.3</w:t>
      </w:r>
      <w:r w:rsidRPr="004013B5">
        <w:rPr>
          <w:rFonts w:ascii="Times New Roman" w:eastAsia="宋体" w:hAnsi="Times New Roman" w:cs="Times New Roman" w:hint="eastAsia"/>
          <w:szCs w:val="21"/>
        </w:rPr>
        <w:t>整体性原则</w:t>
      </w:r>
    </w:p>
    <w:p w14:paraId="59F88894"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充分考虑场地修复过程中土壤和地下水的整体协调性，并综合考虑近期、中期和长期目标的要求，以及修复技术的可行性、成本、周期、民众可接受程度等因素。</w:t>
      </w:r>
    </w:p>
    <w:p w14:paraId="2E9C75C0"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hint="eastAsia"/>
          <w:szCs w:val="21"/>
        </w:rPr>
        <w:t>8</w:t>
      </w:r>
      <w:r w:rsidRPr="004013B5">
        <w:rPr>
          <w:rFonts w:ascii="Times New Roman" w:eastAsia="宋体" w:hAnsi="Times New Roman" w:cs="Times New Roman"/>
          <w:szCs w:val="21"/>
        </w:rPr>
        <w:t>.1.4</w:t>
      </w:r>
      <w:r w:rsidRPr="004013B5">
        <w:rPr>
          <w:rFonts w:ascii="Times New Roman" w:eastAsia="宋体" w:hAnsi="Times New Roman" w:cs="Times New Roman" w:hint="eastAsia"/>
          <w:szCs w:val="21"/>
        </w:rPr>
        <w:t>绿色无污染原则</w:t>
      </w:r>
    </w:p>
    <w:p w14:paraId="435E1460"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选择绿色的、可持续的修复策略，使修复行为的环境效益最大化。</w:t>
      </w:r>
    </w:p>
    <w:p w14:paraId="0B40879C" w14:textId="3646D412" w:rsidR="008F6058" w:rsidRPr="004013B5" w:rsidRDefault="00664EDD" w:rsidP="002336D1">
      <w:pPr>
        <w:spacing w:beforeLines="50" w:before="156" w:afterLines="50" w:after="156"/>
        <w:outlineLvl w:val="1"/>
        <w:rPr>
          <w:rFonts w:ascii="黑体" w:eastAsia="黑体" w:hAnsi="黑体" w:cs="Times New Roman"/>
          <w:szCs w:val="21"/>
        </w:rPr>
      </w:pPr>
      <w:bookmarkStart w:id="33" w:name="_Toc142689407"/>
      <w:r w:rsidRPr="004013B5">
        <w:rPr>
          <w:rFonts w:ascii="黑体" w:eastAsia="黑体" w:hAnsi="黑体" w:cs="Times New Roman"/>
          <w:szCs w:val="21"/>
        </w:rPr>
        <w:t>8.2</w:t>
      </w:r>
      <w:r w:rsidR="002A34F5" w:rsidRPr="004013B5">
        <w:rPr>
          <w:rFonts w:ascii="黑体" w:eastAsia="黑体" w:hAnsi="黑体" w:cs="Times New Roman"/>
          <w:szCs w:val="21"/>
        </w:rPr>
        <w:t xml:space="preserve"> </w:t>
      </w:r>
      <w:r w:rsidRPr="004013B5">
        <w:rPr>
          <w:rFonts w:ascii="黑体" w:eastAsia="黑体" w:hAnsi="黑体" w:cs="Times New Roman" w:hint="eastAsia"/>
          <w:szCs w:val="21"/>
        </w:rPr>
        <w:t>协同修复策略制定的过程</w:t>
      </w:r>
      <w:bookmarkEnd w:id="33"/>
    </w:p>
    <w:p w14:paraId="459F3241"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8.2.1</w:t>
      </w:r>
      <w:r w:rsidRPr="004013B5">
        <w:rPr>
          <w:rFonts w:ascii="Times New Roman" w:eastAsia="宋体" w:hAnsi="Times New Roman" w:cs="Times New Roman" w:hint="eastAsia"/>
          <w:szCs w:val="21"/>
        </w:rPr>
        <w:t>采用污染源处理策略</w:t>
      </w:r>
    </w:p>
    <w:p w14:paraId="0757C581"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采用污染源处理技术时，针对各种技术类型，应根据污染介质确定目标污染物、明确具体的处理目标值和待处理的介质（土壤或地下水）范围。具体的处理技术类型有原位生物、原位物理、原位化学、异位生物、异位物理、异位化学等。</w:t>
      </w:r>
    </w:p>
    <w:p w14:paraId="4D4089D4"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对于污染土壤而言，处理目标值应根据风险评估结果、处理技术的特点以及土壤的最终去向或使用方式来综合确定。当采用降低土壤中目标污染物浓度的污染源处理技术时，处理目标值一般是将土壤中的目标污染物浓度降低到符合土壤再利用用途的风险可接受水平；当采用化学氧化等降低污染物浓度的技术时，还应当考虑可能产生的中间产物及控制指标。当采用降低土壤中目标污染物的活性和迁移性控制其风险的固化</w:t>
      </w:r>
      <w:r w:rsidRPr="004013B5">
        <w:rPr>
          <w:rFonts w:ascii="Times New Roman" w:eastAsia="宋体" w:hAnsi="Times New Roman" w:cs="Times New Roman"/>
          <w:szCs w:val="21"/>
        </w:rPr>
        <w:t>/</w:t>
      </w:r>
      <w:r w:rsidRPr="004013B5">
        <w:rPr>
          <w:rFonts w:ascii="Times New Roman" w:eastAsia="宋体" w:hAnsi="Times New Roman" w:cs="Times New Roman"/>
          <w:szCs w:val="21"/>
        </w:rPr>
        <w:t>稳定化技术时，应根据固化体的最终处置地的环境保护要求，确定其浸出浓度限值。待处理介质范围描述应包括需处理的污染土壤的深度、面积与边界、土方量</w:t>
      </w:r>
      <w:r w:rsidRPr="004013B5">
        <w:rPr>
          <w:rFonts w:ascii="Times New Roman" w:eastAsia="宋体" w:hAnsi="Times New Roman" w:cs="Times New Roman" w:hint="eastAsia"/>
          <w:szCs w:val="21"/>
        </w:rPr>
        <w:t>。</w:t>
      </w:r>
    </w:p>
    <w:p w14:paraId="3FF46B0C"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对于污染地下水而言，需明确不同阶段的处理目标值，地下水的处理目标值与其将要达到的功能密切相关；待处理介质范围的描述应包括需处理的污染地下水的边界、深度与出水量。</w:t>
      </w:r>
    </w:p>
    <w:p w14:paraId="1EBB8DD1"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8.2.2</w:t>
      </w:r>
      <w:r w:rsidRPr="004013B5">
        <w:rPr>
          <w:rFonts w:ascii="Times New Roman" w:eastAsia="宋体" w:hAnsi="Times New Roman" w:cs="Times New Roman" w:hint="eastAsia"/>
          <w:szCs w:val="21"/>
        </w:rPr>
        <w:t>采用工程控制策略</w:t>
      </w:r>
    </w:p>
    <w:p w14:paraId="1C3C5854"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应根据污染介质，确定目标污染物、修复范围、暴露途径，选择合适的阻止污染扩散或切断暴露途径方式，如覆盖清洁土、建立阻截工程等，从而降低和消除场地污染物对人体健康和环境的风险。从修复成本、修复周期等因素考虑，工程控制技术可为一种合理有效的选择。由于工程控制并不彻底去除场地中的污染物，因此工程控制往往需要和制度控制相结合，如定期监测和评估制度等。工程控制技术可以与污染源处理技术联合起来使用，降低修复成本，或用于场地修复过程中的二次污染防治。</w:t>
      </w:r>
    </w:p>
    <w:p w14:paraId="52155A58"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8.2.3</w:t>
      </w:r>
      <w:r w:rsidRPr="004013B5">
        <w:rPr>
          <w:rFonts w:ascii="Times New Roman" w:eastAsia="宋体" w:hAnsi="Times New Roman" w:cs="Times New Roman" w:hint="eastAsia"/>
          <w:szCs w:val="21"/>
        </w:rPr>
        <w:t>采用制度控制策略</w:t>
      </w:r>
    </w:p>
    <w:p w14:paraId="1837B4EB"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应通过制定和实施各项条例、准则、规章或制度，减少或阻止人群对场地污染物的暴露，从制度上杜绝和防范场地污染可能带来的风险和危害，从而达到利用行政管理手段对污染场地的潜在风险进行管理与控制的目的。制度控制技术常与工程控制技术或与污染源处理技术联合采用。</w:t>
      </w:r>
    </w:p>
    <w:p w14:paraId="2C2451C5" w14:textId="77777777" w:rsidR="008F6058" w:rsidRPr="004013B5" w:rsidRDefault="00664EDD">
      <w:pPr>
        <w:spacing w:beforeLines="100" w:before="312" w:afterLines="100" w:after="312"/>
        <w:outlineLvl w:val="0"/>
        <w:rPr>
          <w:rFonts w:ascii="黑体" w:eastAsia="黑体" w:hAnsi="黑体" w:cs="Times New Roman"/>
          <w:b/>
          <w:bCs/>
          <w:szCs w:val="21"/>
        </w:rPr>
      </w:pPr>
      <w:bookmarkStart w:id="34" w:name="_Toc142689408"/>
      <w:r w:rsidRPr="004013B5">
        <w:rPr>
          <w:rFonts w:ascii="黑体" w:eastAsia="黑体" w:hAnsi="黑体" w:cs="Times New Roman"/>
          <w:b/>
          <w:bCs/>
          <w:szCs w:val="21"/>
        </w:rPr>
        <w:t xml:space="preserve">9 </w:t>
      </w:r>
      <w:r w:rsidRPr="004013B5">
        <w:rPr>
          <w:rFonts w:ascii="黑体" w:eastAsia="黑体" w:hAnsi="黑体" w:cs="Times New Roman" w:hint="eastAsia"/>
          <w:b/>
          <w:bCs/>
          <w:szCs w:val="21"/>
        </w:rPr>
        <w:t>协同修复技术比选</w:t>
      </w:r>
      <w:bookmarkEnd w:id="34"/>
    </w:p>
    <w:p w14:paraId="0861C777" w14:textId="564274E1" w:rsidR="008F6058" w:rsidRPr="004013B5" w:rsidRDefault="00664EDD" w:rsidP="002336D1">
      <w:pPr>
        <w:spacing w:beforeLines="50" w:before="156" w:afterLines="50" w:after="156"/>
        <w:outlineLvl w:val="1"/>
        <w:rPr>
          <w:rFonts w:ascii="黑体" w:eastAsia="黑体" w:hAnsi="黑体" w:cs="Times New Roman"/>
          <w:szCs w:val="21"/>
        </w:rPr>
      </w:pPr>
      <w:bookmarkStart w:id="35" w:name="_Toc142689409"/>
      <w:r w:rsidRPr="004013B5">
        <w:rPr>
          <w:rFonts w:ascii="黑体" w:eastAsia="黑体" w:hAnsi="黑体" w:cs="Times New Roman"/>
          <w:szCs w:val="21"/>
        </w:rPr>
        <w:t>9.1</w:t>
      </w:r>
      <w:r w:rsidR="002A34F5" w:rsidRPr="004013B5">
        <w:rPr>
          <w:rFonts w:ascii="黑体" w:eastAsia="黑体" w:hAnsi="黑体" w:cs="Times New Roman"/>
          <w:szCs w:val="21"/>
        </w:rPr>
        <w:t xml:space="preserve"> </w:t>
      </w:r>
      <w:r w:rsidRPr="004013B5">
        <w:rPr>
          <w:rFonts w:ascii="黑体" w:eastAsia="黑体" w:hAnsi="黑体" w:cs="Times New Roman" w:hint="eastAsia"/>
          <w:szCs w:val="21"/>
        </w:rPr>
        <w:t>协同修复技术比选思路</w:t>
      </w:r>
      <w:bookmarkEnd w:id="35"/>
    </w:p>
    <w:p w14:paraId="2A2DCBFE"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lastRenderedPageBreak/>
        <w:t>9.1.1</w:t>
      </w:r>
      <w:r w:rsidRPr="004013B5">
        <w:rPr>
          <w:rFonts w:ascii="Times New Roman" w:eastAsia="宋体" w:hAnsi="Times New Roman" w:cs="Times New Roman" w:hint="eastAsia"/>
          <w:szCs w:val="21"/>
        </w:rPr>
        <w:t>主流修复技术比选</w:t>
      </w:r>
    </w:p>
    <w:p w14:paraId="39F785BF"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针对确认的污染物类型和污染物特性，根据上一阶段确定的修复策略，依据修复技术类型（污染源处理技术范畴的原位生物、原位物理、原位化学、异位生物、异位物理、异位化学、工程控制技术等）和具体技术工艺（例如异位生物技术类型按工艺又可细分为异位生物堆技术、异位堆肥法技术、异位泥浆态生物处理技术等），利用文献调研、应用案例分析或相关筛选工具，从技术的修复效果、可实施性以及管理部门的接受性、成本等角度进行考。</w:t>
      </w:r>
    </w:p>
    <w:p w14:paraId="67D2CC3F"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9.1.2</w:t>
      </w:r>
      <w:r w:rsidRPr="004013B5">
        <w:rPr>
          <w:rFonts w:ascii="Times New Roman" w:eastAsia="宋体" w:hAnsi="Times New Roman" w:cs="Times New Roman" w:hint="eastAsia"/>
          <w:szCs w:val="21"/>
        </w:rPr>
        <w:t>修复效果预先模拟和评估</w:t>
      </w:r>
    </w:p>
    <w:p w14:paraId="1CF28141"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修复技术可行性试验是确定各潜在可行技术是否适用于特定的目标场地。当效率、时间、成本等数据量充足，例如，大量研究和案例证明该技术对某种污染物处理有效，如热脱附处理多环芳烃污染土壤，或要研究的特定目标场地与已有案例的场地特征条件、水文地质条件、目标污染物完全相符且能够证明或确定技术可行时，可跳过可行性试验过程直接进入修复技术综合评估阶段；当数据量不够证明各潜在可行技术能够用于特定的目标场地或缺少前期基础、文献或应用案例时，则首先需要开展可行性试验。修复技术可行性试验分为筛选性试验和选择性试验。此外，也可以通过数值模拟方法，依托前期建立的污染趋势预测模型，对特定的修复技术进行数值模拟验证。</w:t>
      </w:r>
    </w:p>
    <w:p w14:paraId="1E555177" w14:textId="4E8ABA5F" w:rsidR="008F6058" w:rsidRPr="004013B5" w:rsidRDefault="00664EDD" w:rsidP="002336D1">
      <w:pPr>
        <w:spacing w:beforeLines="50" w:before="156" w:afterLines="50" w:after="156"/>
        <w:outlineLvl w:val="1"/>
        <w:rPr>
          <w:rFonts w:ascii="黑体" w:eastAsia="黑体" w:hAnsi="黑体" w:cs="Times New Roman"/>
          <w:szCs w:val="21"/>
        </w:rPr>
      </w:pPr>
      <w:bookmarkStart w:id="36" w:name="_Toc142689410"/>
      <w:r w:rsidRPr="004013B5">
        <w:rPr>
          <w:rFonts w:ascii="黑体" w:eastAsia="黑体" w:hAnsi="黑体" w:cs="Times New Roman"/>
          <w:szCs w:val="21"/>
        </w:rPr>
        <w:t>9.2</w:t>
      </w:r>
      <w:r w:rsidR="002A34F5" w:rsidRPr="004013B5">
        <w:rPr>
          <w:rFonts w:ascii="黑体" w:eastAsia="黑体" w:hAnsi="黑体" w:cs="Times New Roman"/>
          <w:szCs w:val="21"/>
        </w:rPr>
        <w:t xml:space="preserve"> </w:t>
      </w:r>
      <w:r w:rsidRPr="004013B5">
        <w:rPr>
          <w:rFonts w:ascii="黑体" w:eastAsia="黑体" w:hAnsi="黑体" w:cs="Times New Roman" w:hint="eastAsia"/>
          <w:szCs w:val="21"/>
        </w:rPr>
        <w:t>常用土壤修复技术适用场景</w:t>
      </w:r>
      <w:bookmarkEnd w:id="36"/>
    </w:p>
    <w:p w14:paraId="4A22F435"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9.2.1</w:t>
      </w:r>
      <w:r w:rsidRPr="004013B5">
        <w:rPr>
          <w:rFonts w:ascii="Times New Roman" w:eastAsia="宋体" w:hAnsi="Times New Roman" w:cs="Times New Roman" w:hint="eastAsia"/>
          <w:szCs w:val="21"/>
        </w:rPr>
        <w:t>清挖</w:t>
      </w:r>
    </w:p>
    <w:p w14:paraId="39FF7503"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指通过机械、人工等手段，使土壤离开原位置的过程。一般包括挖掘过程和挖掘土壤的后处理、处置和再利用过程。在场地修复的各个阶段和多种修复技术实施过程中都可能采用挖掘技术，如场地环境评估、修复活动中和后评估阶段。作为修复技术，本指南推荐挖掘只能作为修复方案的一部分，不能适用于传统的挖掘填埋技术方案。</w:t>
      </w:r>
    </w:p>
    <w:p w14:paraId="1838D32D"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9.2.2</w:t>
      </w:r>
      <w:r w:rsidRPr="004013B5">
        <w:rPr>
          <w:rFonts w:ascii="Times New Roman" w:eastAsia="宋体" w:hAnsi="Times New Roman" w:cs="Times New Roman"/>
          <w:szCs w:val="21"/>
        </w:rPr>
        <w:t>固化</w:t>
      </w:r>
      <w:r w:rsidRPr="004013B5">
        <w:rPr>
          <w:rFonts w:ascii="Times New Roman" w:eastAsia="宋体" w:hAnsi="Times New Roman" w:cs="Times New Roman"/>
          <w:szCs w:val="21"/>
        </w:rPr>
        <w:t>/</w:t>
      </w:r>
      <w:r w:rsidRPr="004013B5">
        <w:rPr>
          <w:rFonts w:ascii="Times New Roman" w:eastAsia="宋体" w:hAnsi="Times New Roman" w:cs="Times New Roman"/>
          <w:szCs w:val="21"/>
        </w:rPr>
        <w:t>稳定化</w:t>
      </w:r>
    </w:p>
    <w:p w14:paraId="570A2C14"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指通过固态形式在物理上隔离污染物或者将污染物转化成化学性质不活泼的形态，降低污染物的危害，可分为原位和异位稳定</w:t>
      </w:r>
      <w:r w:rsidRPr="004013B5">
        <w:rPr>
          <w:rFonts w:ascii="Times New Roman" w:eastAsia="宋体" w:hAnsi="Times New Roman" w:cs="Times New Roman"/>
          <w:szCs w:val="21"/>
        </w:rPr>
        <w:t>/</w:t>
      </w:r>
      <w:r w:rsidRPr="004013B5">
        <w:rPr>
          <w:rFonts w:ascii="Times New Roman" w:eastAsia="宋体" w:hAnsi="Times New Roman" w:cs="Times New Roman"/>
          <w:szCs w:val="21"/>
        </w:rPr>
        <w:t>固化修复技术。原位稳定</w:t>
      </w:r>
      <w:r w:rsidRPr="004013B5">
        <w:rPr>
          <w:rFonts w:ascii="Times New Roman" w:eastAsia="宋体" w:hAnsi="Times New Roman" w:cs="Times New Roman"/>
          <w:szCs w:val="21"/>
        </w:rPr>
        <w:t>/</w:t>
      </w:r>
      <w:r w:rsidRPr="004013B5">
        <w:rPr>
          <w:rFonts w:ascii="Times New Roman" w:eastAsia="宋体" w:hAnsi="Times New Roman" w:cs="Times New Roman"/>
          <w:szCs w:val="21"/>
        </w:rPr>
        <w:t>固化技术适用于重金属污染土壤的修复，一般不适用于有机污染物污染土壤的修复；异位稳定</w:t>
      </w:r>
      <w:r w:rsidRPr="004013B5">
        <w:rPr>
          <w:rFonts w:ascii="Times New Roman" w:eastAsia="宋体" w:hAnsi="Times New Roman" w:cs="Times New Roman"/>
          <w:szCs w:val="21"/>
        </w:rPr>
        <w:t>/</w:t>
      </w:r>
      <w:r w:rsidRPr="004013B5">
        <w:rPr>
          <w:rFonts w:ascii="Times New Roman" w:eastAsia="宋体" w:hAnsi="Times New Roman" w:cs="Times New Roman"/>
          <w:szCs w:val="21"/>
        </w:rPr>
        <w:t>固化技术通常适用于处理无机污染物质，不适用于半挥发性有机物和污染土壤的修复。</w:t>
      </w:r>
    </w:p>
    <w:p w14:paraId="3C49E717"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9.2.3</w:t>
      </w:r>
      <w:r w:rsidRPr="004013B5">
        <w:rPr>
          <w:rFonts w:ascii="Times New Roman" w:eastAsia="宋体" w:hAnsi="Times New Roman" w:cs="Times New Roman"/>
          <w:szCs w:val="21"/>
        </w:rPr>
        <w:t>化学淋洗</w:t>
      </w:r>
    </w:p>
    <w:p w14:paraId="7A331F70"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指借助能促进土壤环境中污染物溶解或迁移作用的溶剂，通过水力压头推动清洗液，将其注入被污染土层中，然后再将包含污染物的液体从土层中抽提出来，进行分离和污水处理的技术，可分为原位和异位化学淋洗技术。原位化学淋洗技术适用于水力传导系数大于</w:t>
      </w:r>
      <w:r w:rsidRPr="004013B5">
        <w:rPr>
          <w:rFonts w:ascii="Times New Roman" w:eastAsia="宋体" w:hAnsi="Times New Roman" w:cs="Times New Roman"/>
          <w:szCs w:val="21"/>
        </w:rPr>
        <w:t>10-3cm/s</w:t>
      </w:r>
      <w:r w:rsidRPr="004013B5">
        <w:rPr>
          <w:rFonts w:ascii="Times New Roman" w:eastAsia="宋体" w:hAnsi="Times New Roman" w:cs="Times New Roman"/>
          <w:szCs w:val="21"/>
        </w:rPr>
        <w:t>的多孔隙、易渗透的土壤，如沙土、砂砾土壤、冲积土和滨海土，不适用于红壤、黄壤等质地较细的土壤；异位化学淋洗技术适用于土壤粘粒含量低于</w:t>
      </w:r>
      <w:r w:rsidRPr="004013B5">
        <w:rPr>
          <w:rFonts w:ascii="Times New Roman" w:eastAsia="宋体" w:hAnsi="Times New Roman" w:cs="Times New Roman"/>
          <w:szCs w:val="21"/>
        </w:rPr>
        <w:t>25%</w:t>
      </w:r>
      <w:r w:rsidRPr="004013B5">
        <w:rPr>
          <w:rFonts w:ascii="Times New Roman" w:eastAsia="宋体" w:hAnsi="Times New Roman" w:cs="Times New Roman"/>
          <w:szCs w:val="21"/>
        </w:rPr>
        <w:t>。</w:t>
      </w:r>
    </w:p>
    <w:p w14:paraId="164A13D6"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9.2.4</w:t>
      </w:r>
      <w:r w:rsidRPr="004013B5">
        <w:rPr>
          <w:rFonts w:ascii="Times New Roman" w:eastAsia="宋体" w:hAnsi="Times New Roman" w:cs="Times New Roman"/>
          <w:szCs w:val="21"/>
        </w:rPr>
        <w:t>生物修复</w:t>
      </w:r>
    </w:p>
    <w:p w14:paraId="32E7ADDE"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生物修复指利用微生物、植物和动物将土壤、地下水中的危险污染物降解、吸收或富集的生物工程技术系统。按处置地点分为原位和异位生物修复。生物修复技术适用于部分重金属污染修复，不适合处理持久性有机污染物。</w:t>
      </w:r>
    </w:p>
    <w:p w14:paraId="7D05EF2B" w14:textId="3B1CB829" w:rsidR="008F6058" w:rsidRPr="004013B5" w:rsidRDefault="00664EDD" w:rsidP="002336D1">
      <w:pPr>
        <w:spacing w:beforeLines="50" w:before="156" w:afterLines="50" w:after="156"/>
        <w:outlineLvl w:val="1"/>
        <w:rPr>
          <w:rFonts w:ascii="黑体" w:eastAsia="黑体" w:hAnsi="黑体" w:cs="Times New Roman"/>
          <w:szCs w:val="21"/>
        </w:rPr>
      </w:pPr>
      <w:bookmarkStart w:id="37" w:name="_Toc142689411"/>
      <w:r w:rsidRPr="004013B5">
        <w:rPr>
          <w:rFonts w:ascii="黑体" w:eastAsia="黑体" w:hAnsi="黑体" w:cs="Times New Roman"/>
          <w:szCs w:val="21"/>
        </w:rPr>
        <w:t>9.3</w:t>
      </w:r>
      <w:r w:rsidR="002A34F5" w:rsidRPr="004013B5">
        <w:rPr>
          <w:rFonts w:ascii="黑体" w:eastAsia="黑体" w:hAnsi="黑体" w:cs="Times New Roman"/>
          <w:szCs w:val="21"/>
        </w:rPr>
        <w:t xml:space="preserve"> </w:t>
      </w:r>
      <w:r w:rsidRPr="004013B5">
        <w:rPr>
          <w:rFonts w:ascii="黑体" w:eastAsia="黑体" w:hAnsi="黑体" w:cs="Times New Roman" w:hint="eastAsia"/>
          <w:szCs w:val="21"/>
        </w:rPr>
        <w:t>常用地下水修复技术适用场景</w:t>
      </w:r>
      <w:bookmarkEnd w:id="37"/>
    </w:p>
    <w:p w14:paraId="67B5366F"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9.3.1</w:t>
      </w:r>
      <w:r w:rsidRPr="004013B5">
        <w:rPr>
          <w:rFonts w:ascii="Times New Roman" w:eastAsia="宋体" w:hAnsi="Times New Roman" w:cs="Times New Roman"/>
          <w:szCs w:val="21"/>
        </w:rPr>
        <w:t>抽出处理技术</w:t>
      </w:r>
    </w:p>
    <w:p w14:paraId="2DF63D3B"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对于地下水污染物浓度较高、地下水埋深较大的污染场地具有优势；对污染地下水的早期处理见效快。设备简单，施工方便。不适用于渗透性较差或存在非水相液体的含水层；对修复区域干扰大；能耗大。适用于渗透性较好的含水层、污染范围大、地下水埋深较大的污染场地。</w:t>
      </w:r>
    </w:p>
    <w:p w14:paraId="5A97D267"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9.3.2</w:t>
      </w:r>
      <w:r w:rsidRPr="004013B5">
        <w:rPr>
          <w:rFonts w:ascii="Times New Roman" w:eastAsia="宋体" w:hAnsi="Times New Roman" w:cs="Times New Roman"/>
          <w:szCs w:val="21"/>
        </w:rPr>
        <w:t>原位化学还原技术</w:t>
      </w:r>
    </w:p>
    <w:p w14:paraId="0D6FAEAF"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具有反应速度快，修复时间短的优点，场地水文地质条件可能会限制化学物质的传输；一些含氯有机污染物的降解产物有一定的毒性；部分污染物的还原效果不稳定。适用于渗透性较好的多孔介质区域。</w:t>
      </w:r>
    </w:p>
    <w:p w14:paraId="108D2D51"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9.3.3</w:t>
      </w:r>
      <w:r w:rsidRPr="004013B5">
        <w:rPr>
          <w:rFonts w:ascii="Times New Roman" w:eastAsia="宋体" w:hAnsi="Times New Roman" w:cs="Times New Roman"/>
          <w:szCs w:val="21"/>
        </w:rPr>
        <w:t>可渗透性反应墙技术</w:t>
      </w:r>
    </w:p>
    <w:p w14:paraId="131049AE"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可渗透反应墙技术是地下水修复中的常用原位处理技术，通过可渗透的反应墙对地下水污染羽进</w:t>
      </w:r>
      <w:r w:rsidRPr="004013B5">
        <w:rPr>
          <w:rFonts w:ascii="Times New Roman" w:eastAsia="宋体" w:hAnsi="Times New Roman" w:cs="Times New Roman" w:hint="eastAsia"/>
          <w:szCs w:val="21"/>
        </w:rPr>
        <w:lastRenderedPageBreak/>
        <w:t>行阻截和修复，反应墙的填充反应介质包括零价铁、沸石和增强微生物活性等，处理中包括了物理、化学或生物作用过程。有连续和漏斗</w:t>
      </w:r>
      <w:r w:rsidRPr="004013B5">
        <w:rPr>
          <w:rFonts w:ascii="Times New Roman" w:eastAsia="宋体" w:hAnsi="Times New Roman" w:cs="Times New Roman"/>
          <w:szCs w:val="21"/>
        </w:rPr>
        <w:t>-</w:t>
      </w:r>
      <w:r w:rsidRPr="004013B5">
        <w:rPr>
          <w:rFonts w:ascii="Times New Roman" w:eastAsia="宋体" w:hAnsi="Times New Roman" w:cs="Times New Roman"/>
          <w:szCs w:val="21"/>
        </w:rPr>
        <w:t>通道型两种类型。反应介质消耗较慢，具备几年甚至几十年的处理能力。</w:t>
      </w:r>
    </w:p>
    <w:p w14:paraId="72E75619"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9.3.4</w:t>
      </w:r>
      <w:r w:rsidRPr="004013B5">
        <w:rPr>
          <w:rFonts w:ascii="Times New Roman" w:eastAsia="宋体" w:hAnsi="Times New Roman" w:cs="Times New Roman"/>
          <w:szCs w:val="21"/>
        </w:rPr>
        <w:t>止水帷幕阻隔技术</w:t>
      </w:r>
    </w:p>
    <w:p w14:paraId="2FDEFEA2"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施工方便，使用的材料较为普遍，可</w:t>
      </w:r>
      <w:proofErr w:type="gramStart"/>
      <w:r w:rsidRPr="004013B5">
        <w:rPr>
          <w:rFonts w:ascii="Times New Roman" w:eastAsia="宋体" w:hAnsi="Times New Roman" w:cs="Times New Roman" w:hint="eastAsia"/>
          <w:szCs w:val="21"/>
        </w:rPr>
        <w:t>有效将</w:t>
      </w:r>
      <w:proofErr w:type="gramEnd"/>
      <w:r w:rsidRPr="004013B5">
        <w:rPr>
          <w:rFonts w:ascii="Times New Roman" w:eastAsia="宋体" w:hAnsi="Times New Roman" w:cs="Times New Roman" w:hint="eastAsia"/>
          <w:szCs w:val="21"/>
        </w:rPr>
        <w:t>污染物阻隔在特定区域中。阻隔效果受地下水中</w:t>
      </w:r>
      <w:r w:rsidRPr="004013B5">
        <w:rPr>
          <w:rFonts w:ascii="Times New Roman" w:eastAsia="宋体" w:hAnsi="Times New Roman" w:cs="Times New Roman"/>
          <w:szCs w:val="21"/>
        </w:rPr>
        <w:t>pH</w:t>
      </w:r>
      <w:r w:rsidRPr="004013B5">
        <w:rPr>
          <w:rFonts w:ascii="Times New Roman" w:eastAsia="宋体" w:hAnsi="Times New Roman" w:cs="Times New Roman"/>
          <w:szCs w:val="21"/>
        </w:rPr>
        <w:t>，污染物类型、活性、分布，墙体的深度、长度、宽度和场地水文地质条件等影响。适用于地下水埋深较浅的区域。</w:t>
      </w:r>
    </w:p>
    <w:p w14:paraId="18DB68F1" w14:textId="77777777" w:rsidR="008F6058" w:rsidRPr="004013B5" w:rsidRDefault="00664EDD">
      <w:pPr>
        <w:spacing w:beforeLines="100" w:before="312" w:afterLines="100" w:after="312"/>
        <w:outlineLvl w:val="0"/>
        <w:rPr>
          <w:rFonts w:ascii="黑体" w:eastAsia="黑体" w:hAnsi="黑体" w:cs="Times New Roman"/>
          <w:b/>
          <w:bCs/>
          <w:szCs w:val="21"/>
        </w:rPr>
      </w:pPr>
      <w:bookmarkStart w:id="38" w:name="_Toc142689412"/>
      <w:r w:rsidRPr="004013B5">
        <w:rPr>
          <w:rFonts w:ascii="黑体" w:eastAsia="黑体" w:hAnsi="黑体" w:cs="Times New Roman"/>
          <w:b/>
          <w:bCs/>
          <w:szCs w:val="21"/>
        </w:rPr>
        <w:t xml:space="preserve">10 </w:t>
      </w:r>
      <w:r w:rsidRPr="004013B5">
        <w:rPr>
          <w:rFonts w:ascii="黑体" w:eastAsia="黑体" w:hAnsi="黑体" w:cs="Times New Roman" w:hint="eastAsia"/>
          <w:b/>
          <w:bCs/>
          <w:szCs w:val="21"/>
        </w:rPr>
        <w:t>有色冶炼场地协同修复技术集成</w:t>
      </w:r>
      <w:bookmarkEnd w:id="38"/>
    </w:p>
    <w:p w14:paraId="3455A218" w14:textId="57D1DB14" w:rsidR="008F6058" w:rsidRPr="004013B5" w:rsidRDefault="00664EDD" w:rsidP="002336D1">
      <w:pPr>
        <w:spacing w:beforeLines="50" w:before="156" w:afterLines="50" w:after="156"/>
        <w:outlineLvl w:val="1"/>
        <w:rPr>
          <w:rFonts w:ascii="黑体" w:eastAsia="黑体" w:hAnsi="黑体" w:cs="Times New Roman"/>
          <w:szCs w:val="21"/>
        </w:rPr>
      </w:pPr>
      <w:bookmarkStart w:id="39" w:name="_Toc142689413"/>
      <w:r w:rsidRPr="004013B5">
        <w:rPr>
          <w:rFonts w:ascii="黑体" w:eastAsia="黑体" w:hAnsi="黑体" w:cs="Times New Roman"/>
          <w:szCs w:val="21"/>
        </w:rPr>
        <w:t>10.1</w:t>
      </w:r>
      <w:r w:rsidR="002A34F5" w:rsidRPr="004013B5">
        <w:rPr>
          <w:rFonts w:ascii="黑体" w:eastAsia="黑体" w:hAnsi="黑体" w:cs="Times New Roman"/>
          <w:szCs w:val="21"/>
        </w:rPr>
        <w:t xml:space="preserve"> </w:t>
      </w:r>
      <w:r w:rsidRPr="004013B5">
        <w:rPr>
          <w:rFonts w:ascii="黑体" w:eastAsia="黑体" w:hAnsi="黑体" w:cs="Times New Roman" w:hint="eastAsia"/>
          <w:szCs w:val="21"/>
        </w:rPr>
        <w:t>土壤多金属同步固化</w:t>
      </w:r>
      <w:r w:rsidRPr="004013B5">
        <w:rPr>
          <w:rFonts w:ascii="黑体" w:eastAsia="黑体" w:hAnsi="黑体" w:cs="Times New Roman"/>
          <w:szCs w:val="21"/>
        </w:rPr>
        <w:t>/稳定化长效修复技术</w:t>
      </w:r>
      <w:bookmarkEnd w:id="39"/>
    </w:p>
    <w:p w14:paraId="54384391"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针对有色冶炼场地重金属组成复杂、污染程度差异大、单一修复方法难以使土壤多重金属同时固化</w:t>
      </w:r>
      <w:r w:rsidRPr="004013B5">
        <w:rPr>
          <w:rFonts w:ascii="Times New Roman" w:eastAsia="宋体" w:hAnsi="Times New Roman" w:cs="Times New Roman"/>
          <w:szCs w:val="21"/>
        </w:rPr>
        <w:t>/</w:t>
      </w:r>
      <w:r w:rsidRPr="004013B5">
        <w:rPr>
          <w:rFonts w:ascii="Times New Roman" w:eastAsia="宋体" w:hAnsi="Times New Roman" w:cs="Times New Roman"/>
          <w:szCs w:val="21"/>
        </w:rPr>
        <w:t>稳定化等问题，研发基于多重金属同步固化</w:t>
      </w:r>
      <w:r w:rsidRPr="004013B5">
        <w:rPr>
          <w:rFonts w:ascii="Times New Roman" w:eastAsia="宋体" w:hAnsi="Times New Roman" w:cs="Times New Roman"/>
          <w:szCs w:val="21"/>
        </w:rPr>
        <w:t>/</w:t>
      </w:r>
      <w:r w:rsidRPr="004013B5">
        <w:rPr>
          <w:rFonts w:ascii="Times New Roman" w:eastAsia="宋体" w:hAnsi="Times New Roman" w:cs="Times New Roman"/>
          <w:szCs w:val="21"/>
        </w:rPr>
        <w:t>稳定化的功能材料，结合场地土壤重金属污染高效诊断及分级评价，形成重污染土壤多金属同步固化</w:t>
      </w:r>
      <w:r w:rsidRPr="004013B5">
        <w:rPr>
          <w:rFonts w:ascii="Times New Roman" w:eastAsia="宋体" w:hAnsi="Times New Roman" w:cs="Times New Roman"/>
          <w:szCs w:val="21"/>
        </w:rPr>
        <w:t>/</w:t>
      </w:r>
      <w:r w:rsidRPr="004013B5">
        <w:rPr>
          <w:rFonts w:ascii="Times New Roman" w:eastAsia="宋体" w:hAnsi="Times New Roman" w:cs="Times New Roman"/>
          <w:szCs w:val="21"/>
        </w:rPr>
        <w:t>稳定化修复技术及中轻度污染土壤微生物协同重金属稳定化修复技术。</w:t>
      </w:r>
    </w:p>
    <w:p w14:paraId="0D84EB25"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10.1.1</w:t>
      </w:r>
      <w:r w:rsidRPr="004013B5">
        <w:rPr>
          <w:rFonts w:ascii="Times New Roman" w:eastAsia="宋体" w:hAnsi="Times New Roman" w:cs="Times New Roman"/>
          <w:szCs w:val="21"/>
        </w:rPr>
        <w:t>施工工艺确定</w:t>
      </w:r>
    </w:p>
    <w:p w14:paraId="3F3D9946"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主要包括原位</w:t>
      </w:r>
      <w:r w:rsidRPr="004013B5">
        <w:rPr>
          <w:rFonts w:ascii="Times New Roman" w:eastAsia="宋体" w:hAnsi="Times New Roman" w:cs="Times New Roman"/>
          <w:szCs w:val="21"/>
        </w:rPr>
        <w:t>/</w:t>
      </w:r>
      <w:r w:rsidRPr="004013B5">
        <w:rPr>
          <w:rFonts w:ascii="Times New Roman" w:eastAsia="宋体" w:hAnsi="Times New Roman" w:cs="Times New Roman"/>
          <w:szCs w:val="21"/>
        </w:rPr>
        <w:t>和异位应根据地块状况、地层结构、污染分布和土地利用等适用条件选择原位或异位固化</w:t>
      </w:r>
      <w:r w:rsidRPr="004013B5">
        <w:rPr>
          <w:rFonts w:ascii="Times New Roman" w:eastAsia="宋体" w:hAnsi="Times New Roman" w:cs="Times New Roman"/>
          <w:szCs w:val="21"/>
        </w:rPr>
        <w:t>/</w:t>
      </w:r>
      <w:r w:rsidRPr="004013B5">
        <w:rPr>
          <w:rFonts w:ascii="Times New Roman" w:eastAsia="宋体" w:hAnsi="Times New Roman" w:cs="Times New Roman"/>
          <w:szCs w:val="21"/>
        </w:rPr>
        <w:t>稳定化工艺。</w:t>
      </w:r>
    </w:p>
    <w:p w14:paraId="392DDA10"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 xml:space="preserve">10.1.2 </w:t>
      </w:r>
      <w:r w:rsidRPr="004013B5">
        <w:rPr>
          <w:rFonts w:ascii="Times New Roman" w:eastAsia="宋体" w:hAnsi="Times New Roman" w:cs="Times New Roman"/>
          <w:szCs w:val="21"/>
        </w:rPr>
        <w:t>原位固化</w:t>
      </w:r>
      <w:r w:rsidRPr="004013B5">
        <w:rPr>
          <w:rFonts w:ascii="Times New Roman" w:eastAsia="宋体" w:hAnsi="Times New Roman" w:cs="Times New Roman"/>
          <w:szCs w:val="21"/>
        </w:rPr>
        <w:t>/</w:t>
      </w:r>
      <w:r w:rsidRPr="004013B5">
        <w:rPr>
          <w:rFonts w:ascii="Times New Roman" w:eastAsia="宋体" w:hAnsi="Times New Roman" w:cs="Times New Roman"/>
          <w:szCs w:val="21"/>
        </w:rPr>
        <w:t>稳定化</w:t>
      </w:r>
    </w:p>
    <w:p w14:paraId="2F13642A"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10.1.2.1</w:t>
      </w:r>
      <w:r w:rsidRPr="004013B5">
        <w:rPr>
          <w:rFonts w:ascii="Times New Roman" w:eastAsia="宋体" w:hAnsi="Times New Roman" w:cs="Times New Roman"/>
          <w:szCs w:val="21"/>
        </w:rPr>
        <w:t>场地清理满足规定</w:t>
      </w:r>
    </w:p>
    <w:p w14:paraId="15F67C9F"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原位固化</w:t>
      </w:r>
      <w:r w:rsidRPr="004013B5">
        <w:rPr>
          <w:rFonts w:ascii="Times New Roman" w:eastAsia="宋体" w:hAnsi="Times New Roman" w:cs="Times New Roman"/>
          <w:szCs w:val="21"/>
        </w:rPr>
        <w:t>/</w:t>
      </w:r>
      <w:r w:rsidRPr="004013B5">
        <w:rPr>
          <w:rFonts w:ascii="Times New Roman" w:eastAsia="宋体" w:hAnsi="Times New Roman" w:cs="Times New Roman"/>
          <w:szCs w:val="21"/>
        </w:rPr>
        <w:t>稳定化施工前应探测和清除地上和地下影响施工的混凝土块、石块和地下构筑物等障碍物。清理出的建筑垃圾和石块等应清洗后再进行处置。</w:t>
      </w:r>
    </w:p>
    <w:p w14:paraId="2C179FAD"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10.1.2.2</w:t>
      </w:r>
      <w:r w:rsidRPr="004013B5">
        <w:rPr>
          <w:rFonts w:ascii="Times New Roman" w:eastAsia="宋体" w:hAnsi="Times New Roman" w:cs="Times New Roman"/>
          <w:szCs w:val="21"/>
        </w:rPr>
        <w:t>药剂配置</w:t>
      </w:r>
    </w:p>
    <w:p w14:paraId="2155875E"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应设置药剂储存库、料仓、</w:t>
      </w:r>
      <w:proofErr w:type="gramStart"/>
      <w:r w:rsidRPr="004013B5">
        <w:rPr>
          <w:rFonts w:ascii="Times New Roman" w:eastAsia="宋体" w:hAnsi="Times New Roman" w:cs="Times New Roman"/>
          <w:szCs w:val="21"/>
        </w:rPr>
        <w:t>配药站</w:t>
      </w:r>
      <w:proofErr w:type="gramEnd"/>
      <w:r w:rsidRPr="004013B5">
        <w:rPr>
          <w:rFonts w:ascii="Times New Roman" w:eastAsia="宋体" w:hAnsi="Times New Roman" w:cs="Times New Roman"/>
          <w:szCs w:val="21"/>
        </w:rPr>
        <w:t>和泵送系统，并配备液位监控和溢流液收集系统；制备好的水泥浆储存不宜超过</w:t>
      </w:r>
      <w:r w:rsidRPr="004013B5">
        <w:rPr>
          <w:rFonts w:ascii="Times New Roman" w:eastAsia="宋体" w:hAnsi="Times New Roman" w:cs="Times New Roman"/>
          <w:szCs w:val="21"/>
        </w:rPr>
        <w:t>2h</w:t>
      </w:r>
      <w:r w:rsidRPr="004013B5">
        <w:rPr>
          <w:rFonts w:ascii="Times New Roman" w:eastAsia="宋体" w:hAnsi="Times New Roman" w:cs="Times New Roman"/>
          <w:szCs w:val="21"/>
        </w:rPr>
        <w:t>。</w:t>
      </w:r>
    </w:p>
    <w:p w14:paraId="6936DA9E"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10.1.2.3</w:t>
      </w:r>
      <w:r w:rsidRPr="004013B5">
        <w:rPr>
          <w:rFonts w:ascii="Times New Roman" w:eastAsia="宋体" w:hAnsi="Times New Roman" w:cs="Times New Roman"/>
          <w:szCs w:val="21"/>
        </w:rPr>
        <w:t>搅拌</w:t>
      </w:r>
      <w:r w:rsidRPr="004013B5">
        <w:rPr>
          <w:rFonts w:ascii="Times New Roman" w:eastAsia="宋体" w:hAnsi="Times New Roman" w:cs="Times New Roman"/>
          <w:szCs w:val="21"/>
        </w:rPr>
        <w:t>/</w:t>
      </w:r>
      <w:r w:rsidRPr="004013B5">
        <w:rPr>
          <w:rFonts w:ascii="Times New Roman" w:eastAsia="宋体" w:hAnsi="Times New Roman" w:cs="Times New Roman"/>
          <w:szCs w:val="21"/>
        </w:rPr>
        <w:t>注入</w:t>
      </w:r>
    </w:p>
    <w:p w14:paraId="786DC573"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应根据中试结果确定搅拌和注入设备可达深度、搅拌</w:t>
      </w:r>
      <w:r w:rsidRPr="004013B5">
        <w:rPr>
          <w:rFonts w:ascii="Times New Roman" w:eastAsia="宋体" w:hAnsi="Times New Roman" w:cs="Times New Roman"/>
          <w:szCs w:val="21"/>
        </w:rPr>
        <w:t>/</w:t>
      </w:r>
      <w:r w:rsidRPr="004013B5">
        <w:rPr>
          <w:rFonts w:ascii="Times New Roman" w:eastAsia="宋体" w:hAnsi="Times New Roman" w:cs="Times New Roman"/>
          <w:szCs w:val="21"/>
        </w:rPr>
        <w:t>注入单元、注药速率及搅拌杆移动速度和搅拌时间等参数。宜根据修复深度选择合适的原位固化</w:t>
      </w:r>
      <w:r w:rsidRPr="004013B5">
        <w:rPr>
          <w:rFonts w:ascii="Times New Roman" w:eastAsia="宋体" w:hAnsi="Times New Roman" w:cs="Times New Roman"/>
          <w:szCs w:val="21"/>
        </w:rPr>
        <w:t>/</w:t>
      </w:r>
      <w:r w:rsidRPr="004013B5">
        <w:rPr>
          <w:rFonts w:ascii="Times New Roman" w:eastAsia="宋体" w:hAnsi="Times New Roman" w:cs="Times New Roman"/>
          <w:szCs w:val="21"/>
        </w:rPr>
        <w:t>稳定化施工设备。一般</w:t>
      </w:r>
      <w:r w:rsidRPr="004013B5">
        <w:rPr>
          <w:rFonts w:ascii="Times New Roman" w:eastAsia="宋体" w:hAnsi="Times New Roman" w:cs="Times New Roman"/>
          <w:szCs w:val="21"/>
        </w:rPr>
        <w:t>5m</w:t>
      </w:r>
      <w:r w:rsidRPr="004013B5">
        <w:rPr>
          <w:rFonts w:ascii="Times New Roman" w:eastAsia="宋体" w:hAnsi="Times New Roman" w:cs="Times New Roman"/>
          <w:szCs w:val="21"/>
        </w:rPr>
        <w:t>以内的浅层污染可采用挖掘机、旋耕机和专用浅层搅拌机等设备混合，可以使用液体、浆状或粉末状材料和药剂，混合搅拌与药剂添加宜同步进行。大于</w:t>
      </w:r>
      <w:r w:rsidRPr="004013B5">
        <w:rPr>
          <w:rFonts w:ascii="Times New Roman" w:eastAsia="宋体" w:hAnsi="Times New Roman" w:cs="Times New Roman"/>
          <w:szCs w:val="21"/>
        </w:rPr>
        <w:t>5m</w:t>
      </w:r>
      <w:r w:rsidRPr="004013B5">
        <w:rPr>
          <w:rFonts w:ascii="Times New Roman" w:eastAsia="宋体" w:hAnsi="Times New Roman" w:cs="Times New Roman"/>
          <w:szCs w:val="21"/>
        </w:rPr>
        <w:t>的深层原位固化</w:t>
      </w:r>
      <w:r w:rsidRPr="004013B5">
        <w:rPr>
          <w:rFonts w:ascii="Times New Roman" w:eastAsia="宋体" w:hAnsi="Times New Roman" w:cs="Times New Roman"/>
          <w:szCs w:val="21"/>
        </w:rPr>
        <w:t>/</w:t>
      </w:r>
      <w:r w:rsidRPr="004013B5">
        <w:rPr>
          <w:rFonts w:ascii="Times New Roman" w:eastAsia="宋体" w:hAnsi="Times New Roman" w:cs="Times New Roman"/>
          <w:szCs w:val="21"/>
        </w:rPr>
        <w:t>稳定化一般采用高压注入和螺旋搅拌的方式把材料和药剂与污染土壤混合，深层搅拌一般宜采用液体或浆状药剂进行注入或混合。</w:t>
      </w:r>
    </w:p>
    <w:p w14:paraId="263CB5C1"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10.1.2.4</w:t>
      </w:r>
      <w:r w:rsidRPr="004013B5">
        <w:rPr>
          <w:rFonts w:ascii="Times New Roman" w:eastAsia="宋体" w:hAnsi="Times New Roman" w:cs="Times New Roman"/>
          <w:szCs w:val="21"/>
        </w:rPr>
        <w:t>养护及管理</w:t>
      </w:r>
    </w:p>
    <w:p w14:paraId="02157307"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原位固化</w:t>
      </w:r>
      <w:r w:rsidRPr="004013B5">
        <w:rPr>
          <w:rFonts w:ascii="Times New Roman" w:eastAsia="宋体" w:hAnsi="Times New Roman" w:cs="Times New Roman"/>
          <w:szCs w:val="21"/>
        </w:rPr>
        <w:t>/</w:t>
      </w:r>
      <w:r w:rsidRPr="004013B5">
        <w:rPr>
          <w:rFonts w:ascii="Times New Roman" w:eastAsia="宋体" w:hAnsi="Times New Roman" w:cs="Times New Roman"/>
          <w:szCs w:val="21"/>
        </w:rPr>
        <w:t>稳定化处理后的土壤或固化体应进行养护，对表层等裸露部分进行覆盖，保持水分。宜考虑土壤增容膨胀的影响，并根据地形、土地利用等进行整形；原位固化</w:t>
      </w:r>
      <w:r w:rsidRPr="004013B5">
        <w:rPr>
          <w:rFonts w:ascii="Times New Roman" w:eastAsia="宋体" w:hAnsi="Times New Roman" w:cs="Times New Roman"/>
          <w:szCs w:val="21"/>
        </w:rPr>
        <w:t>/</w:t>
      </w:r>
      <w:r w:rsidRPr="004013B5">
        <w:rPr>
          <w:rFonts w:ascii="Times New Roman" w:eastAsia="宋体" w:hAnsi="Times New Roman" w:cs="Times New Roman"/>
          <w:szCs w:val="21"/>
        </w:rPr>
        <w:t>稳定化处理后宜适当采取高密度聚乙烯、膨润土、沥青和粘土等进行封盖，减少降水等对固化</w:t>
      </w:r>
      <w:r w:rsidRPr="004013B5">
        <w:rPr>
          <w:rFonts w:ascii="Times New Roman" w:eastAsia="宋体" w:hAnsi="Times New Roman" w:cs="Times New Roman"/>
          <w:szCs w:val="21"/>
        </w:rPr>
        <w:t>/</w:t>
      </w:r>
      <w:r w:rsidRPr="004013B5">
        <w:rPr>
          <w:rFonts w:ascii="Times New Roman" w:eastAsia="宋体" w:hAnsi="Times New Roman" w:cs="Times New Roman"/>
          <w:szCs w:val="21"/>
        </w:rPr>
        <w:t>稳定化后土壤的淋溶及裸露表面的风化和侵蚀。</w:t>
      </w:r>
    </w:p>
    <w:p w14:paraId="0BEA72B7"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 xml:space="preserve">10.1.3 </w:t>
      </w:r>
      <w:r w:rsidRPr="004013B5">
        <w:rPr>
          <w:rFonts w:ascii="Times New Roman" w:eastAsia="宋体" w:hAnsi="Times New Roman" w:cs="Times New Roman"/>
          <w:szCs w:val="21"/>
        </w:rPr>
        <w:t>异位固化</w:t>
      </w:r>
      <w:r w:rsidRPr="004013B5">
        <w:rPr>
          <w:rFonts w:ascii="Times New Roman" w:eastAsia="宋体" w:hAnsi="Times New Roman" w:cs="Times New Roman"/>
          <w:szCs w:val="21"/>
        </w:rPr>
        <w:t>/</w:t>
      </w:r>
      <w:r w:rsidRPr="004013B5">
        <w:rPr>
          <w:rFonts w:ascii="Times New Roman" w:eastAsia="宋体" w:hAnsi="Times New Roman" w:cs="Times New Roman"/>
          <w:szCs w:val="21"/>
        </w:rPr>
        <w:t>稳定化</w:t>
      </w:r>
    </w:p>
    <w:p w14:paraId="3C3F9F8A"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10.1.3.1</w:t>
      </w:r>
      <w:r w:rsidRPr="004013B5">
        <w:rPr>
          <w:rFonts w:ascii="Times New Roman" w:eastAsia="宋体" w:hAnsi="Times New Roman" w:cs="Times New Roman"/>
          <w:szCs w:val="21"/>
        </w:rPr>
        <w:t>挖掘</w:t>
      </w:r>
    </w:p>
    <w:p w14:paraId="6FD83F6C"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污染土壤挖掘应有支护方案，深基坑开挖应满足</w:t>
      </w:r>
      <w:r w:rsidRPr="004013B5">
        <w:rPr>
          <w:rFonts w:ascii="Times New Roman" w:eastAsia="宋体" w:hAnsi="Times New Roman" w:cs="Times New Roman"/>
          <w:szCs w:val="21"/>
        </w:rPr>
        <w:t>JGJ 311</w:t>
      </w:r>
      <w:r w:rsidRPr="004013B5">
        <w:rPr>
          <w:rFonts w:ascii="Times New Roman" w:eastAsia="宋体" w:hAnsi="Times New Roman" w:cs="Times New Roman"/>
          <w:szCs w:val="21"/>
        </w:rPr>
        <w:t>的要求；对地下水位以下的污染土壤进行开挖时应进行降水设计。</w:t>
      </w:r>
    </w:p>
    <w:p w14:paraId="5605FC08"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10.1.3.2</w:t>
      </w:r>
      <w:r w:rsidRPr="004013B5">
        <w:rPr>
          <w:rFonts w:ascii="Times New Roman" w:eastAsia="宋体" w:hAnsi="Times New Roman" w:cs="Times New Roman"/>
          <w:szCs w:val="21"/>
        </w:rPr>
        <w:t>搅拌混合</w:t>
      </w:r>
    </w:p>
    <w:p w14:paraId="3EA2AB07"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根据小试和中试优化的参数，对污染土壤进行固化</w:t>
      </w:r>
      <w:r w:rsidRPr="004013B5">
        <w:rPr>
          <w:rFonts w:ascii="Times New Roman" w:eastAsia="宋体" w:hAnsi="Times New Roman" w:cs="Times New Roman"/>
          <w:szCs w:val="21"/>
        </w:rPr>
        <w:t>/</w:t>
      </w:r>
      <w:r w:rsidRPr="004013B5">
        <w:rPr>
          <w:rFonts w:ascii="Times New Roman" w:eastAsia="宋体" w:hAnsi="Times New Roman" w:cs="Times New Roman"/>
          <w:szCs w:val="21"/>
        </w:rPr>
        <w:t>稳定化处理，确保材料和药剂投加的针对性和有效性。采用双轴搅拌机和土壤改良机等专用设备混合污染土壤和固化</w:t>
      </w:r>
      <w:r w:rsidRPr="004013B5">
        <w:rPr>
          <w:rFonts w:ascii="Times New Roman" w:eastAsia="宋体" w:hAnsi="Times New Roman" w:cs="Times New Roman"/>
          <w:szCs w:val="21"/>
        </w:rPr>
        <w:t>/</w:t>
      </w:r>
      <w:r w:rsidRPr="004013B5">
        <w:rPr>
          <w:rFonts w:ascii="Times New Roman" w:eastAsia="宋体" w:hAnsi="Times New Roman" w:cs="Times New Roman"/>
          <w:szCs w:val="21"/>
        </w:rPr>
        <w:t>稳定化材料和药剂，并配备土壤输送机、干粉料仓、浆状药剂及液体药剂的储存槽及药剂制备、计量和投加装置，搅拌混合系统应具备安全锁和自动计量投加装置。正式运行前应进行搅拌设备试运行及搅拌效果测试，确定不同类型土壤与材料和药剂适宜的混合时间和处理量，并根据药剂配比和使用量，调整土壤输送量及材料和药剂的投</w:t>
      </w:r>
      <w:r w:rsidRPr="004013B5">
        <w:rPr>
          <w:rFonts w:ascii="Times New Roman" w:eastAsia="宋体" w:hAnsi="Times New Roman" w:cs="Times New Roman"/>
          <w:szCs w:val="21"/>
        </w:rPr>
        <w:lastRenderedPageBreak/>
        <w:t>加量，确保药剂与土壤充分混</w:t>
      </w:r>
      <w:r w:rsidRPr="004013B5">
        <w:rPr>
          <w:rFonts w:ascii="Times New Roman" w:eastAsia="宋体" w:hAnsi="Times New Roman" w:cs="Times New Roman" w:hint="eastAsia"/>
          <w:szCs w:val="21"/>
        </w:rPr>
        <w:t>合。</w:t>
      </w:r>
    </w:p>
    <w:p w14:paraId="01880982"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10.1.3.3</w:t>
      </w:r>
      <w:r w:rsidRPr="004013B5">
        <w:rPr>
          <w:rFonts w:ascii="Times New Roman" w:eastAsia="宋体" w:hAnsi="Times New Roman" w:cs="Times New Roman"/>
          <w:szCs w:val="21"/>
        </w:rPr>
        <w:t>养护宜</w:t>
      </w:r>
    </w:p>
    <w:p w14:paraId="5AE16B29"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固化后的土壤应在初凝前完成成型，一般宜在</w:t>
      </w:r>
      <w:r w:rsidRPr="004013B5">
        <w:rPr>
          <w:rFonts w:ascii="Times New Roman" w:eastAsia="宋体" w:hAnsi="Times New Roman" w:cs="Times New Roman"/>
          <w:szCs w:val="21"/>
        </w:rPr>
        <w:t>8h</w:t>
      </w:r>
      <w:r w:rsidRPr="004013B5">
        <w:rPr>
          <w:rFonts w:ascii="Times New Roman" w:eastAsia="宋体" w:hAnsi="Times New Roman" w:cs="Times New Roman"/>
          <w:szCs w:val="21"/>
        </w:rPr>
        <w:t>内。可采用制砖机、造粒机等设备制成块状、粒状固化块，</w:t>
      </w:r>
      <w:r w:rsidRPr="004013B5">
        <w:rPr>
          <w:rFonts w:ascii="Times New Roman" w:eastAsia="宋体" w:hAnsi="Times New Roman" w:cs="Times New Roman"/>
          <w:szCs w:val="21"/>
        </w:rPr>
        <w:t xml:space="preserve"> </w:t>
      </w:r>
      <w:r w:rsidRPr="004013B5">
        <w:rPr>
          <w:rFonts w:ascii="Times New Roman" w:eastAsia="宋体" w:hAnsi="Times New Roman" w:cs="Times New Roman"/>
          <w:szCs w:val="21"/>
        </w:rPr>
        <w:t>或直接浇注成型，振动压实。固化初凝成型完成后应进行养护，将固化体用薄膜、草席等覆盖，保持表面潮湿。养护时间一般不少于</w:t>
      </w:r>
      <w:r w:rsidRPr="004013B5">
        <w:rPr>
          <w:rFonts w:ascii="Times New Roman" w:eastAsia="宋体" w:hAnsi="Times New Roman" w:cs="Times New Roman"/>
          <w:szCs w:val="21"/>
        </w:rPr>
        <w:t>14d</w:t>
      </w:r>
      <w:r w:rsidRPr="004013B5">
        <w:rPr>
          <w:rFonts w:ascii="Times New Roman" w:eastAsia="宋体" w:hAnsi="Times New Roman" w:cs="Times New Roman"/>
          <w:szCs w:val="21"/>
        </w:rPr>
        <w:t>，具体养护时间根据胶凝材料、外加剂和环境湿度等确定。当昼夜平均气温小于</w:t>
      </w:r>
      <w:r w:rsidRPr="004013B5">
        <w:rPr>
          <w:rFonts w:ascii="Times New Roman" w:eastAsia="宋体" w:hAnsi="Times New Roman" w:cs="Times New Roman"/>
          <w:szCs w:val="21"/>
        </w:rPr>
        <w:t>5℃</w:t>
      </w:r>
      <w:r w:rsidRPr="004013B5">
        <w:rPr>
          <w:rFonts w:ascii="Times New Roman" w:eastAsia="宋体" w:hAnsi="Times New Roman" w:cs="Times New Roman"/>
          <w:szCs w:val="21"/>
        </w:rPr>
        <w:t>或最低气温小于</w:t>
      </w:r>
      <w:r w:rsidRPr="004013B5">
        <w:rPr>
          <w:rFonts w:ascii="Times New Roman" w:eastAsia="宋体" w:hAnsi="Times New Roman" w:cs="Times New Roman"/>
          <w:szCs w:val="21"/>
        </w:rPr>
        <w:t>-3℃</w:t>
      </w:r>
      <w:r w:rsidRPr="004013B5">
        <w:rPr>
          <w:rFonts w:ascii="Times New Roman" w:eastAsia="宋体" w:hAnsi="Times New Roman" w:cs="Times New Roman"/>
          <w:szCs w:val="21"/>
        </w:rPr>
        <w:t>，可采用蒸汽等养护方式。采用稳定化技术时不需要成型，搅拌完成后堆成条垛状，保持水分养护，养护时间一般不少于</w:t>
      </w:r>
      <w:r w:rsidRPr="004013B5">
        <w:rPr>
          <w:rFonts w:ascii="Times New Roman" w:eastAsia="宋体" w:hAnsi="Times New Roman" w:cs="Times New Roman"/>
          <w:szCs w:val="21"/>
        </w:rPr>
        <w:t>7d</w:t>
      </w:r>
      <w:r w:rsidRPr="004013B5">
        <w:rPr>
          <w:rFonts w:ascii="Times New Roman" w:eastAsia="宋体" w:hAnsi="Times New Roman" w:cs="Times New Roman"/>
          <w:szCs w:val="21"/>
        </w:rPr>
        <w:t>，确保药剂有足够时间与污染物接触和反应。</w:t>
      </w:r>
    </w:p>
    <w:p w14:paraId="14D8E0CF" w14:textId="28CE7478" w:rsidR="008F6058" w:rsidRPr="004013B5" w:rsidRDefault="00664EDD" w:rsidP="002336D1">
      <w:pPr>
        <w:spacing w:beforeLines="50" w:before="156" w:afterLines="50" w:after="156"/>
        <w:outlineLvl w:val="1"/>
        <w:rPr>
          <w:rFonts w:ascii="黑体" w:eastAsia="黑体" w:hAnsi="黑体" w:cs="Times New Roman"/>
          <w:szCs w:val="21"/>
        </w:rPr>
      </w:pPr>
      <w:bookmarkStart w:id="40" w:name="_Toc142689414"/>
      <w:r w:rsidRPr="004013B5">
        <w:rPr>
          <w:rFonts w:ascii="黑体" w:eastAsia="黑体" w:hAnsi="黑体" w:cs="Times New Roman"/>
          <w:szCs w:val="21"/>
        </w:rPr>
        <w:t>10.2</w:t>
      </w:r>
      <w:r w:rsidR="002A34F5" w:rsidRPr="004013B5">
        <w:rPr>
          <w:rFonts w:ascii="黑体" w:eastAsia="黑体" w:hAnsi="黑体" w:cs="Times New Roman"/>
          <w:szCs w:val="21"/>
        </w:rPr>
        <w:t xml:space="preserve"> </w:t>
      </w:r>
      <w:r w:rsidRPr="004013B5">
        <w:rPr>
          <w:rFonts w:ascii="黑体" w:eastAsia="黑体" w:hAnsi="黑体" w:cs="Times New Roman" w:hint="eastAsia"/>
          <w:szCs w:val="21"/>
        </w:rPr>
        <w:t>地下水重金属污染精准修复及分级阻断技术</w:t>
      </w:r>
      <w:bookmarkEnd w:id="40"/>
    </w:p>
    <w:p w14:paraId="5F352D21"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针对有色冶炼场地水文地质特征多样、污染空间分布复杂等问题，推荐铁基纳米复合材料及可原位成型的活性隔离屏障材料，基于功能材料精准注入和强化传输的地下水精准修复技术研究，结合冶炼场地土壤</w:t>
      </w:r>
      <w:r w:rsidRPr="004013B5">
        <w:rPr>
          <w:rFonts w:ascii="Times New Roman" w:eastAsia="宋体" w:hAnsi="Times New Roman" w:cs="Times New Roman"/>
          <w:szCs w:val="21"/>
        </w:rPr>
        <w:t>-</w:t>
      </w:r>
      <w:r w:rsidRPr="004013B5">
        <w:rPr>
          <w:rFonts w:ascii="Times New Roman" w:eastAsia="宋体" w:hAnsi="Times New Roman" w:cs="Times New Roman"/>
          <w:szCs w:val="21"/>
        </w:rPr>
        <w:t>地下水重金属活性隔离屏障阻控技术研究，实现冶炼场地地下水重金属污染的精准修复及分级阻断。</w:t>
      </w:r>
    </w:p>
    <w:p w14:paraId="16113337" w14:textId="5F6024E6"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系统协同“固化</w:t>
      </w:r>
      <w:r w:rsidRPr="004013B5">
        <w:rPr>
          <w:rFonts w:ascii="Times New Roman" w:eastAsia="宋体" w:hAnsi="Times New Roman" w:cs="Times New Roman"/>
          <w:szCs w:val="21"/>
        </w:rPr>
        <w:t>-</w:t>
      </w:r>
      <w:r w:rsidRPr="004013B5">
        <w:rPr>
          <w:rFonts w:ascii="Times New Roman" w:eastAsia="宋体" w:hAnsi="Times New Roman" w:cs="Times New Roman"/>
          <w:szCs w:val="21"/>
        </w:rPr>
        <w:t>稳定化</w:t>
      </w:r>
      <w:r w:rsidRPr="004013B5">
        <w:rPr>
          <w:rFonts w:ascii="Times New Roman" w:eastAsia="宋体" w:hAnsi="Times New Roman" w:cs="Times New Roman"/>
          <w:szCs w:val="21"/>
        </w:rPr>
        <w:t>-</w:t>
      </w:r>
      <w:r w:rsidRPr="004013B5">
        <w:rPr>
          <w:rFonts w:ascii="Times New Roman" w:eastAsia="宋体" w:hAnsi="Times New Roman" w:cs="Times New Roman"/>
          <w:szCs w:val="21"/>
        </w:rPr>
        <w:t>分级治理</w:t>
      </w:r>
      <w:r w:rsidRPr="004013B5">
        <w:rPr>
          <w:rFonts w:ascii="Times New Roman" w:eastAsia="宋体" w:hAnsi="Times New Roman" w:cs="Times New Roman"/>
          <w:szCs w:val="21"/>
        </w:rPr>
        <w:t>”</w:t>
      </w:r>
      <w:r w:rsidRPr="004013B5">
        <w:rPr>
          <w:rFonts w:ascii="Times New Roman" w:eastAsia="宋体" w:hAnsi="Times New Roman" w:cs="Times New Roman"/>
          <w:szCs w:val="21"/>
        </w:rPr>
        <w:t>、</w:t>
      </w:r>
      <w:r w:rsidRPr="004013B5">
        <w:rPr>
          <w:rFonts w:ascii="Times New Roman" w:eastAsia="宋体" w:hAnsi="Times New Roman" w:cs="Times New Roman"/>
          <w:szCs w:val="21"/>
        </w:rPr>
        <w:t>“</w:t>
      </w:r>
      <w:r w:rsidRPr="004013B5">
        <w:rPr>
          <w:rFonts w:ascii="Times New Roman" w:eastAsia="宋体" w:hAnsi="Times New Roman" w:cs="Times New Roman"/>
          <w:szCs w:val="21"/>
        </w:rPr>
        <w:t>地下水精准修复及分级阻断</w:t>
      </w:r>
      <w:r w:rsidRPr="004013B5">
        <w:rPr>
          <w:rFonts w:ascii="Times New Roman" w:eastAsia="宋体" w:hAnsi="Times New Roman" w:cs="Times New Roman"/>
          <w:szCs w:val="21"/>
        </w:rPr>
        <w:t>”</w:t>
      </w:r>
      <w:r w:rsidRPr="004013B5">
        <w:rPr>
          <w:rFonts w:ascii="Times New Roman" w:eastAsia="宋体" w:hAnsi="Times New Roman" w:cs="Times New Roman"/>
          <w:szCs w:val="21"/>
        </w:rPr>
        <w:t>、</w:t>
      </w:r>
      <w:r w:rsidRPr="004013B5">
        <w:rPr>
          <w:rFonts w:ascii="Times New Roman" w:eastAsia="宋体" w:hAnsi="Times New Roman" w:cs="Times New Roman"/>
          <w:szCs w:val="21"/>
        </w:rPr>
        <w:t>“</w:t>
      </w:r>
      <w:r w:rsidRPr="004013B5">
        <w:rPr>
          <w:rFonts w:ascii="Times New Roman" w:eastAsia="宋体" w:hAnsi="Times New Roman" w:cs="Times New Roman"/>
          <w:szCs w:val="21"/>
        </w:rPr>
        <w:t>土壤</w:t>
      </w:r>
      <w:proofErr w:type="gramStart"/>
      <w:r w:rsidRPr="004013B5">
        <w:rPr>
          <w:rFonts w:ascii="Times New Roman" w:eastAsia="宋体" w:hAnsi="Times New Roman" w:cs="Times New Roman"/>
          <w:szCs w:val="21"/>
        </w:rPr>
        <w:t>适</w:t>
      </w:r>
      <w:proofErr w:type="gramEnd"/>
      <w:r w:rsidRPr="004013B5">
        <w:rPr>
          <w:rFonts w:ascii="Times New Roman" w:eastAsia="宋体" w:hAnsi="Times New Roman" w:cs="Times New Roman"/>
          <w:szCs w:val="21"/>
        </w:rPr>
        <w:t>生性调控</w:t>
      </w:r>
      <w:r w:rsidRPr="004013B5">
        <w:rPr>
          <w:rFonts w:ascii="Times New Roman" w:eastAsia="宋体" w:hAnsi="Times New Roman" w:cs="Times New Roman"/>
          <w:szCs w:val="21"/>
        </w:rPr>
        <w:t>-</w:t>
      </w:r>
      <w:r w:rsidRPr="004013B5">
        <w:rPr>
          <w:rFonts w:ascii="Times New Roman" w:eastAsia="宋体" w:hAnsi="Times New Roman" w:cs="Times New Roman"/>
          <w:szCs w:val="21"/>
        </w:rPr>
        <w:t>微生物</w:t>
      </w:r>
      <w:r w:rsidRPr="004013B5">
        <w:rPr>
          <w:rFonts w:ascii="Times New Roman" w:eastAsia="宋体" w:hAnsi="Times New Roman" w:cs="Times New Roman"/>
          <w:szCs w:val="21"/>
        </w:rPr>
        <w:t>/</w:t>
      </w:r>
      <w:r w:rsidRPr="004013B5">
        <w:rPr>
          <w:rFonts w:ascii="Times New Roman" w:eastAsia="宋体" w:hAnsi="Times New Roman" w:cs="Times New Roman"/>
          <w:szCs w:val="21"/>
        </w:rPr>
        <w:t>植物联合生态重构</w:t>
      </w:r>
      <w:r w:rsidRPr="004013B5">
        <w:rPr>
          <w:rFonts w:ascii="Times New Roman" w:eastAsia="宋体" w:hAnsi="Times New Roman" w:cs="Times New Roman"/>
          <w:szCs w:val="21"/>
        </w:rPr>
        <w:t>”</w:t>
      </w:r>
      <w:r w:rsidRPr="004013B5">
        <w:rPr>
          <w:rFonts w:ascii="Times New Roman" w:eastAsia="宋体" w:hAnsi="Times New Roman" w:cs="Times New Roman"/>
          <w:szCs w:val="21"/>
        </w:rPr>
        <w:t>等修复技术，优化场地修复材料、装备和技术组合，建立</w:t>
      </w:r>
      <w:r w:rsidR="006B1AA6">
        <w:rPr>
          <w:rFonts w:ascii="Times New Roman" w:eastAsia="宋体" w:hAnsi="Times New Roman" w:cs="Times New Roman"/>
          <w:szCs w:val="21"/>
        </w:rPr>
        <w:t>有色金属冶炼场地土壤</w:t>
      </w:r>
      <w:r w:rsidR="006B1AA6">
        <w:rPr>
          <w:rFonts w:ascii="Times New Roman" w:eastAsia="宋体" w:hAnsi="Times New Roman" w:cs="Times New Roman"/>
          <w:szCs w:val="21"/>
        </w:rPr>
        <w:t>-</w:t>
      </w:r>
      <w:r w:rsidR="006B1AA6">
        <w:rPr>
          <w:rFonts w:ascii="Times New Roman" w:eastAsia="宋体" w:hAnsi="Times New Roman" w:cs="Times New Roman"/>
          <w:szCs w:val="21"/>
        </w:rPr>
        <w:t>地下水</w:t>
      </w:r>
      <w:r w:rsidRPr="004013B5">
        <w:rPr>
          <w:rFonts w:ascii="Times New Roman" w:eastAsia="宋体" w:hAnsi="Times New Roman" w:cs="Times New Roman"/>
          <w:szCs w:val="21"/>
        </w:rPr>
        <w:t>重金属协同修复技术集成体系。</w:t>
      </w:r>
    </w:p>
    <w:p w14:paraId="2CE691DC"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10.2.1</w:t>
      </w:r>
      <w:r w:rsidRPr="004013B5">
        <w:rPr>
          <w:rFonts w:ascii="Times New Roman" w:eastAsia="宋体" w:hAnsi="Times New Roman" w:cs="Times New Roman"/>
          <w:szCs w:val="21"/>
        </w:rPr>
        <w:t>注入方式的确定</w:t>
      </w:r>
    </w:p>
    <w:p w14:paraId="24766656"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修复剂可注入和分布到：（</w:t>
      </w:r>
      <w:r w:rsidRPr="004013B5">
        <w:rPr>
          <w:rFonts w:ascii="Times New Roman" w:eastAsia="宋体" w:hAnsi="Times New Roman" w:cs="Times New Roman"/>
          <w:szCs w:val="21"/>
        </w:rPr>
        <w:t>a</w:t>
      </w:r>
      <w:r w:rsidRPr="004013B5">
        <w:rPr>
          <w:rFonts w:ascii="Times New Roman" w:eastAsia="宋体" w:hAnsi="Times New Roman" w:cs="Times New Roman"/>
          <w:szCs w:val="21"/>
        </w:rPr>
        <w:t>）与污染物直接接触；（</w:t>
      </w:r>
      <w:r w:rsidRPr="004013B5">
        <w:rPr>
          <w:rFonts w:ascii="Times New Roman" w:eastAsia="宋体" w:hAnsi="Times New Roman" w:cs="Times New Roman"/>
          <w:szCs w:val="21"/>
        </w:rPr>
        <w:t>b</w:t>
      </w:r>
      <w:r w:rsidRPr="004013B5">
        <w:rPr>
          <w:rFonts w:ascii="Times New Roman" w:eastAsia="宋体" w:hAnsi="Times New Roman" w:cs="Times New Roman"/>
          <w:szCs w:val="21"/>
        </w:rPr>
        <w:t>）在地下水中化学物质迁移的路径上形成生物或化学反应带或墙，以便在污染地下水通过反应带或墙时与修复剂接触。修复剂分布方案需要了解污染场地的地质和水文地质。要知道在何处注入修复剂，就需要了解污染物的当前分布情况，以及如果不采取有效的污染源控制措施，未来可能发生的情况</w:t>
      </w:r>
      <w:r w:rsidRPr="004013B5">
        <w:rPr>
          <w:rFonts w:ascii="Times New Roman" w:eastAsia="宋体" w:hAnsi="Times New Roman" w:cs="Times New Roman" w:hint="eastAsia"/>
          <w:szCs w:val="21"/>
        </w:rPr>
        <w:t>。</w:t>
      </w:r>
    </w:p>
    <w:p w14:paraId="6D40BAAB"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 xml:space="preserve">10.2.2 </w:t>
      </w:r>
      <w:r w:rsidRPr="004013B5">
        <w:rPr>
          <w:rFonts w:ascii="Times New Roman" w:eastAsia="宋体" w:hAnsi="Times New Roman" w:cs="Times New Roman"/>
          <w:szCs w:val="21"/>
        </w:rPr>
        <w:t>修复药剂的选择</w:t>
      </w:r>
    </w:p>
    <w:p w14:paraId="6746329F"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应具备以下特点：可溶于水（如化学氧化剂如高锰酸钠，或化学还原剂如硫酸亚铁或硫化钠等）、悬浮体中非常细小的纳米级颗粒（如</w:t>
      </w:r>
      <w:proofErr w:type="gramStart"/>
      <w:r w:rsidRPr="004013B5">
        <w:rPr>
          <w:rFonts w:ascii="Times New Roman" w:eastAsia="宋体" w:hAnsi="Times New Roman" w:cs="Times New Roman" w:hint="eastAsia"/>
          <w:szCs w:val="21"/>
        </w:rPr>
        <w:t>纳米级零价</w:t>
      </w:r>
      <w:proofErr w:type="gramEnd"/>
      <w:r w:rsidRPr="004013B5">
        <w:rPr>
          <w:rFonts w:ascii="Times New Roman" w:eastAsia="宋体" w:hAnsi="Times New Roman" w:cs="Times New Roman" w:hint="eastAsia"/>
          <w:szCs w:val="21"/>
        </w:rPr>
        <w:t>铁）、悬浮液中较大的颗粒（如</w:t>
      </w:r>
      <w:proofErr w:type="gramStart"/>
      <w:r w:rsidRPr="004013B5">
        <w:rPr>
          <w:rFonts w:ascii="Times New Roman" w:eastAsia="宋体" w:hAnsi="Times New Roman" w:cs="Times New Roman" w:hint="eastAsia"/>
          <w:szCs w:val="21"/>
        </w:rPr>
        <w:t>微米级零价</w:t>
      </w:r>
      <w:proofErr w:type="gramEnd"/>
      <w:r w:rsidRPr="004013B5">
        <w:rPr>
          <w:rFonts w:ascii="Times New Roman" w:eastAsia="宋体" w:hAnsi="Times New Roman" w:cs="Times New Roman" w:hint="eastAsia"/>
          <w:szCs w:val="21"/>
        </w:rPr>
        <w:t>铁）、大的固体材料（如</w:t>
      </w:r>
      <w:proofErr w:type="gramStart"/>
      <w:r w:rsidRPr="004013B5">
        <w:rPr>
          <w:rFonts w:ascii="Times New Roman" w:eastAsia="宋体" w:hAnsi="Times New Roman" w:cs="Times New Roman" w:hint="eastAsia"/>
          <w:szCs w:val="21"/>
        </w:rPr>
        <w:t>颗粒状零价</w:t>
      </w:r>
      <w:proofErr w:type="gramEnd"/>
      <w:r w:rsidRPr="004013B5">
        <w:rPr>
          <w:rFonts w:ascii="Times New Roman" w:eastAsia="宋体" w:hAnsi="Times New Roman" w:cs="Times New Roman" w:hint="eastAsia"/>
          <w:szCs w:val="21"/>
        </w:rPr>
        <w:t>铁、石灰石或覆盖物），用挖沟法放置在地下，形成可渗透反应性墙。在砂</w:t>
      </w:r>
      <w:proofErr w:type="gramStart"/>
      <w:r w:rsidRPr="004013B5">
        <w:rPr>
          <w:rFonts w:ascii="Times New Roman" w:eastAsia="宋体" w:hAnsi="Times New Roman" w:cs="Times New Roman" w:hint="eastAsia"/>
          <w:szCs w:val="21"/>
        </w:rPr>
        <w:t>和砂粉单元</w:t>
      </w:r>
      <w:proofErr w:type="gramEnd"/>
      <w:r w:rsidRPr="004013B5">
        <w:rPr>
          <w:rFonts w:ascii="Times New Roman" w:eastAsia="宋体" w:hAnsi="Times New Roman" w:cs="Times New Roman" w:hint="eastAsia"/>
          <w:szCs w:val="21"/>
        </w:rPr>
        <w:t>中，可溶性修复剂注入容易，在地下分布更广泛。但如果在注入后它们继续随地下水流迁移，则修复剂不能长时间停留在目标注入区域。</w:t>
      </w:r>
    </w:p>
    <w:p w14:paraId="0B10EB63"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10.2.3</w:t>
      </w:r>
      <w:r w:rsidRPr="004013B5">
        <w:rPr>
          <w:rFonts w:ascii="Times New Roman" w:eastAsia="宋体" w:hAnsi="Times New Roman" w:cs="Times New Roman"/>
          <w:szCs w:val="21"/>
        </w:rPr>
        <w:t>修复剂注入和分布方法</w:t>
      </w:r>
    </w:p>
    <w:p w14:paraId="2322DE7A"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注入方法的选择、井的布设和操作细节将取决于现场条件、修复目标、合格的操作人员以及其他影响设计的现场特定因素。作为设计过程的一部分，有必要制定一个精确的场地概念模型，其中包括地质学、水文地质学、污染物分布和地下水地球化学。地下水数值模拟可以为评价各种方法和设计细节提供一种有价值的工具，为系统的优化设计提供依据。</w:t>
      </w:r>
    </w:p>
    <w:p w14:paraId="0BBDB9ED"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10.2.3.1</w:t>
      </w:r>
      <w:r w:rsidRPr="004013B5">
        <w:rPr>
          <w:rFonts w:ascii="Times New Roman" w:eastAsia="宋体" w:hAnsi="Times New Roman" w:cs="Times New Roman"/>
          <w:szCs w:val="21"/>
        </w:rPr>
        <w:t>主动修复剂注入</w:t>
      </w:r>
    </w:p>
    <w:p w14:paraId="08927724"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主动修复剂注入过程通常涉及地下水的持续抽提、混合修复剂以及混合后水的再注入。抽提和回注井通常布置成使得注入的混合地下水被抽提向抽提井，以最大限度地控制修复剂在地下的分布，避免将污染地下水推离处理区。这一过程允许更好地控制修复剂的剂量，因为可以将目标浓度的修复剂添加到再注入的水中。减少在半被动和被动处理中可能发生的高浓度修复剂的负面影响。主动再循环系统的缺点是注入井是连续运行的，这种操作更容易导致</w:t>
      </w:r>
      <w:proofErr w:type="gramStart"/>
      <w:r w:rsidRPr="004013B5">
        <w:rPr>
          <w:rFonts w:ascii="Times New Roman" w:eastAsia="宋体" w:hAnsi="Times New Roman" w:cs="Times New Roman"/>
          <w:szCs w:val="21"/>
        </w:rPr>
        <w:t>注入井或井的</w:t>
      </w:r>
      <w:proofErr w:type="gramEnd"/>
      <w:r w:rsidRPr="004013B5">
        <w:rPr>
          <w:rFonts w:ascii="Times New Roman" w:eastAsia="宋体" w:hAnsi="Times New Roman" w:cs="Times New Roman"/>
          <w:szCs w:val="21"/>
        </w:rPr>
        <w:t>结垢。注入井中电子供体的稳定供给，促进了注入井内外生物量的增长，导</w:t>
      </w:r>
      <w:r w:rsidRPr="004013B5">
        <w:rPr>
          <w:rFonts w:ascii="Times New Roman" w:eastAsia="宋体" w:hAnsi="Times New Roman" w:cs="Times New Roman" w:hint="eastAsia"/>
          <w:szCs w:val="21"/>
        </w:rPr>
        <w:t>致了生物淤积的增加。通常需要定期的维护和防污措施来保持注入井的正常运行。</w:t>
      </w:r>
    </w:p>
    <w:p w14:paraId="75F162D6"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10.2.3.2</w:t>
      </w:r>
      <w:r w:rsidRPr="004013B5">
        <w:rPr>
          <w:rFonts w:ascii="Times New Roman" w:eastAsia="宋体" w:hAnsi="Times New Roman" w:cs="Times New Roman"/>
          <w:szCs w:val="21"/>
        </w:rPr>
        <w:t>半被动修复剂注入</w:t>
      </w:r>
    </w:p>
    <w:p w14:paraId="4869A5E0"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半被动修复剂注入过程包括定期抽取地下水，添加修复剂到水中，并重新注入混合后的水。地下水定期循环，较高浓度修复剂的分布将提供适当剂量的修复剂，直到下一个注入周期。通常，半被动系统被建在垂直于地下水流方向的直线上来分布修复剂。一旦修复剂分布好，注入和再循环过程就会停止，地下水的自然流动会将地下水带过修复区。流经这一区域的地下水中的污染物在与修复</w:t>
      </w:r>
      <w:proofErr w:type="gramStart"/>
      <w:r w:rsidRPr="004013B5">
        <w:rPr>
          <w:rFonts w:ascii="Times New Roman" w:eastAsia="宋体" w:hAnsi="Times New Roman" w:cs="Times New Roman"/>
          <w:szCs w:val="21"/>
        </w:rPr>
        <w:t>剂接触</w:t>
      </w:r>
      <w:proofErr w:type="gramEnd"/>
      <w:r w:rsidRPr="004013B5">
        <w:rPr>
          <w:rFonts w:ascii="Times New Roman" w:eastAsia="宋体" w:hAnsi="Times New Roman" w:cs="Times New Roman"/>
          <w:szCs w:val="21"/>
        </w:rPr>
        <w:t>时得到处理。</w:t>
      </w:r>
    </w:p>
    <w:p w14:paraId="180D5F37"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lastRenderedPageBreak/>
        <w:t>10.2.3.3</w:t>
      </w:r>
      <w:r w:rsidRPr="004013B5">
        <w:rPr>
          <w:rFonts w:ascii="Times New Roman" w:eastAsia="宋体" w:hAnsi="Times New Roman" w:cs="Times New Roman"/>
          <w:szCs w:val="21"/>
        </w:rPr>
        <w:t>被动修复剂注入</w:t>
      </w:r>
    </w:p>
    <w:p w14:paraId="540A767A"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被动修复剂注入是指在分离点注入，以形成一个不需要地下水再循环的处理区。注入点布置通常是在垂直于地下水流动方向的一条直线上设置一条或多条注入点线。注入可定期重复，并将提供适当数量的修复剂，直到下一个修复剂添加周期。分布修复剂所需的注入点数量比半被动系统要多，因为地下水没有循环来在注入点和抽取点之间分布修复剂。注入后，地下水的自然流动将地下水带过修复剂所在区。</w:t>
      </w:r>
    </w:p>
    <w:p w14:paraId="30701AAF"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10.2.4</w:t>
      </w:r>
      <w:r w:rsidRPr="004013B5">
        <w:rPr>
          <w:rFonts w:ascii="Times New Roman" w:eastAsia="宋体" w:hAnsi="Times New Roman" w:cs="Times New Roman" w:hint="eastAsia"/>
          <w:szCs w:val="21"/>
        </w:rPr>
        <w:t>分级阻断技术</w:t>
      </w:r>
    </w:p>
    <w:p w14:paraId="57BC88C9"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10.2.4.1</w:t>
      </w:r>
      <w:r w:rsidRPr="004013B5">
        <w:rPr>
          <w:rFonts w:ascii="Times New Roman" w:eastAsia="宋体" w:hAnsi="Times New Roman" w:cs="Times New Roman" w:hint="eastAsia"/>
          <w:szCs w:val="21"/>
        </w:rPr>
        <w:t>技术应用基础和前期准备</w:t>
      </w:r>
    </w:p>
    <w:p w14:paraId="76D85F5B"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需调研的参数主要包括：污染物特征，如非饱和土壤和含水层污染物的种类、浓度、三维空间分布、迁移方式及转化条件；当地的地理地质概况和水文气象、地下水的埋深、运移参数、季节性变化；含水层的厚度及其渗透系数、孔隙度、颗粒粒径和级配、地下水的化学特性</w:t>
      </w:r>
      <w:r w:rsidRPr="004013B5">
        <w:rPr>
          <w:rFonts w:ascii="Times New Roman" w:eastAsia="宋体" w:hAnsi="Times New Roman" w:cs="Times New Roman"/>
          <w:szCs w:val="21"/>
        </w:rPr>
        <w:t>(</w:t>
      </w:r>
      <w:r w:rsidRPr="004013B5">
        <w:rPr>
          <w:rFonts w:ascii="Times New Roman" w:eastAsia="宋体" w:hAnsi="Times New Roman" w:cs="Times New Roman"/>
          <w:szCs w:val="21"/>
        </w:rPr>
        <w:t>如</w:t>
      </w:r>
      <w:r w:rsidRPr="004013B5">
        <w:rPr>
          <w:rFonts w:ascii="Times New Roman" w:eastAsia="宋体" w:hAnsi="Times New Roman" w:cs="Times New Roman"/>
          <w:szCs w:val="21"/>
        </w:rPr>
        <w:t>pH</w:t>
      </w:r>
      <w:r w:rsidRPr="004013B5">
        <w:rPr>
          <w:rFonts w:ascii="Times New Roman" w:eastAsia="宋体" w:hAnsi="Times New Roman" w:cs="Times New Roman"/>
          <w:szCs w:val="21"/>
        </w:rPr>
        <w:t>值、</w:t>
      </w:r>
      <w:r w:rsidRPr="004013B5">
        <w:rPr>
          <w:rFonts w:ascii="Times New Roman" w:eastAsia="宋体" w:hAnsi="Times New Roman" w:cs="Times New Roman"/>
          <w:szCs w:val="21"/>
        </w:rPr>
        <w:t>Eh</w:t>
      </w:r>
      <w:r w:rsidRPr="004013B5">
        <w:rPr>
          <w:rFonts w:ascii="Times New Roman" w:eastAsia="宋体" w:hAnsi="Times New Roman" w:cs="Times New Roman"/>
          <w:szCs w:val="21"/>
        </w:rPr>
        <w:t>、</w:t>
      </w:r>
      <w:r w:rsidRPr="004013B5">
        <w:rPr>
          <w:rFonts w:ascii="Times New Roman" w:eastAsia="宋体" w:hAnsi="Times New Roman" w:cs="Times New Roman"/>
          <w:szCs w:val="21"/>
        </w:rPr>
        <w:t>DO</w:t>
      </w:r>
      <w:r w:rsidRPr="004013B5">
        <w:rPr>
          <w:rFonts w:ascii="Times New Roman" w:eastAsia="宋体" w:hAnsi="Times New Roman" w:cs="Times New Roman"/>
          <w:szCs w:val="21"/>
        </w:rPr>
        <w:t>、温度、电导率、</w:t>
      </w:r>
      <w:r w:rsidRPr="004013B5">
        <w:rPr>
          <w:rFonts w:ascii="Times New Roman" w:eastAsia="宋体" w:hAnsi="Times New Roman" w:cs="Times New Roman"/>
          <w:szCs w:val="21"/>
        </w:rPr>
        <w:t>Ca</w:t>
      </w:r>
      <w:r w:rsidRPr="004013B5">
        <w:rPr>
          <w:rFonts w:ascii="Times New Roman" w:eastAsia="宋体" w:hAnsi="Times New Roman" w:cs="Times New Roman"/>
          <w:szCs w:val="21"/>
          <w:vertAlign w:val="superscript"/>
        </w:rPr>
        <w:t>2+</w:t>
      </w:r>
      <w:r w:rsidRPr="004013B5">
        <w:rPr>
          <w:rFonts w:ascii="Times New Roman" w:eastAsia="宋体" w:hAnsi="Times New Roman" w:cs="Times New Roman"/>
          <w:szCs w:val="21"/>
        </w:rPr>
        <w:t>、</w:t>
      </w:r>
      <w:r w:rsidRPr="004013B5">
        <w:rPr>
          <w:rFonts w:ascii="Times New Roman" w:eastAsia="宋体" w:hAnsi="Times New Roman" w:cs="Times New Roman"/>
          <w:szCs w:val="21"/>
        </w:rPr>
        <w:t>Mg</w:t>
      </w:r>
      <w:r w:rsidRPr="004013B5">
        <w:rPr>
          <w:rFonts w:ascii="Times New Roman" w:eastAsia="宋体" w:hAnsi="Times New Roman" w:cs="Times New Roman"/>
          <w:szCs w:val="21"/>
          <w:vertAlign w:val="superscript"/>
        </w:rPr>
        <w:t>2+</w:t>
      </w:r>
      <w:r w:rsidRPr="004013B5">
        <w:rPr>
          <w:rFonts w:ascii="Times New Roman" w:eastAsia="宋体" w:hAnsi="Times New Roman" w:cs="Times New Roman"/>
          <w:szCs w:val="21"/>
        </w:rPr>
        <w:t>、</w:t>
      </w:r>
      <w:r w:rsidRPr="004013B5">
        <w:rPr>
          <w:rFonts w:ascii="Times New Roman" w:eastAsia="宋体" w:hAnsi="Times New Roman" w:cs="Times New Roman"/>
          <w:szCs w:val="21"/>
        </w:rPr>
        <w:t>NO</w:t>
      </w:r>
      <w:r w:rsidRPr="004013B5">
        <w:rPr>
          <w:rFonts w:ascii="Times New Roman" w:eastAsia="宋体" w:hAnsi="Times New Roman" w:cs="Times New Roman"/>
          <w:szCs w:val="21"/>
          <w:vertAlign w:val="superscript"/>
        </w:rPr>
        <w:t>3-</w:t>
      </w:r>
      <w:r w:rsidRPr="004013B5">
        <w:rPr>
          <w:rFonts w:ascii="Times New Roman" w:eastAsia="宋体" w:hAnsi="Times New Roman" w:cs="Times New Roman"/>
          <w:szCs w:val="21"/>
        </w:rPr>
        <w:t>、</w:t>
      </w:r>
      <w:r w:rsidRPr="004013B5">
        <w:rPr>
          <w:rFonts w:ascii="Times New Roman" w:eastAsia="宋体" w:hAnsi="Times New Roman" w:cs="Times New Roman"/>
          <w:szCs w:val="21"/>
        </w:rPr>
        <w:t>SO</w:t>
      </w:r>
      <w:r w:rsidRPr="004013B5">
        <w:rPr>
          <w:rFonts w:ascii="Times New Roman" w:eastAsia="宋体" w:hAnsi="Times New Roman" w:cs="Times New Roman"/>
          <w:szCs w:val="21"/>
          <w:vertAlign w:val="subscript"/>
        </w:rPr>
        <w:t>4</w:t>
      </w:r>
      <w:r w:rsidRPr="004013B5">
        <w:rPr>
          <w:rFonts w:ascii="Times New Roman" w:eastAsia="宋体" w:hAnsi="Times New Roman" w:cs="Times New Roman"/>
          <w:szCs w:val="21"/>
          <w:vertAlign w:val="superscript"/>
        </w:rPr>
        <w:t>2-</w:t>
      </w:r>
      <w:r w:rsidRPr="004013B5">
        <w:rPr>
          <w:rFonts w:ascii="Times New Roman" w:eastAsia="宋体" w:hAnsi="Times New Roman" w:cs="Times New Roman"/>
          <w:szCs w:val="21"/>
        </w:rPr>
        <w:t>等离子含量等</w:t>
      </w:r>
      <w:r w:rsidRPr="004013B5">
        <w:rPr>
          <w:rFonts w:ascii="Times New Roman" w:eastAsia="宋体" w:hAnsi="Times New Roman" w:cs="Times New Roman"/>
          <w:szCs w:val="21"/>
        </w:rPr>
        <w:t>)</w:t>
      </w:r>
      <w:r w:rsidRPr="004013B5">
        <w:rPr>
          <w:rFonts w:ascii="Times New Roman" w:eastAsia="宋体" w:hAnsi="Times New Roman" w:cs="Times New Roman"/>
          <w:szCs w:val="21"/>
        </w:rPr>
        <w:t>；现场微生物活性和群落；现场施工环境条件对周围环境的影响；治理周期、效益、成本、监测；工程项目经费。</w:t>
      </w:r>
    </w:p>
    <w:p w14:paraId="65CF2C2E"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然后在试验室进行批量试验和柱式试验，确定活性反应介质并测试其修复效果和反应动力学参数，建立水动力学模型。根据这些参数计算确定</w:t>
      </w:r>
      <w:r w:rsidRPr="004013B5">
        <w:rPr>
          <w:rFonts w:ascii="Times New Roman" w:eastAsia="宋体" w:hAnsi="Times New Roman" w:cs="Times New Roman"/>
          <w:szCs w:val="21"/>
        </w:rPr>
        <w:t>PRB</w:t>
      </w:r>
      <w:r w:rsidRPr="004013B5">
        <w:rPr>
          <w:rFonts w:ascii="Times New Roman" w:eastAsia="宋体" w:hAnsi="Times New Roman" w:cs="Times New Roman"/>
          <w:szCs w:val="21"/>
        </w:rPr>
        <w:t>的结构、安装位置、方位及尺寸、使用期限、监测方案，并估算总投资费用。</w:t>
      </w:r>
    </w:p>
    <w:p w14:paraId="57DEBFF2"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10.2.4.2</w:t>
      </w:r>
      <w:r w:rsidRPr="004013B5">
        <w:rPr>
          <w:rFonts w:ascii="Times New Roman" w:eastAsia="宋体" w:hAnsi="Times New Roman" w:cs="Times New Roman" w:hint="eastAsia"/>
          <w:szCs w:val="21"/>
        </w:rPr>
        <w:t>主要实施过程</w:t>
      </w:r>
    </w:p>
    <w:p w14:paraId="17767B96"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对于深度不超过</w:t>
      </w:r>
      <w:r w:rsidRPr="004013B5">
        <w:rPr>
          <w:rFonts w:ascii="Times New Roman" w:eastAsia="宋体" w:hAnsi="Times New Roman" w:cs="Times New Roman"/>
          <w:szCs w:val="21"/>
        </w:rPr>
        <w:t>10 m</w:t>
      </w:r>
      <w:r w:rsidRPr="004013B5">
        <w:rPr>
          <w:rFonts w:ascii="Times New Roman" w:eastAsia="宋体" w:hAnsi="Times New Roman" w:cs="Times New Roman"/>
          <w:szCs w:val="21"/>
        </w:rPr>
        <w:t>的浅层</w:t>
      </w:r>
      <w:r w:rsidRPr="004013B5">
        <w:rPr>
          <w:rFonts w:ascii="Times New Roman" w:eastAsia="宋体" w:hAnsi="Times New Roman" w:cs="Times New Roman"/>
          <w:szCs w:val="21"/>
        </w:rPr>
        <w:t>PRB</w:t>
      </w:r>
      <w:r w:rsidRPr="004013B5">
        <w:rPr>
          <w:rFonts w:ascii="Times New Roman" w:eastAsia="宋体" w:hAnsi="Times New Roman" w:cs="Times New Roman"/>
          <w:szCs w:val="21"/>
        </w:rPr>
        <w:t>，在污染羽流向的垂向位置，使用连续挖沟机进行挖掘，并回填活性材料，同时设置监测井、排水管、水位控制孔等，最后在墙体上覆盖土层。也可采用板桩、地沟箱、螺旋钻孔等挖掘方式。</w:t>
      </w:r>
    </w:p>
    <w:p w14:paraId="376FE6B6"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对于深度大于</w:t>
      </w:r>
      <w:r w:rsidRPr="004013B5">
        <w:rPr>
          <w:rFonts w:ascii="Times New Roman" w:eastAsia="宋体" w:hAnsi="Times New Roman" w:cs="Times New Roman"/>
          <w:szCs w:val="21"/>
        </w:rPr>
        <w:t>10 m</w:t>
      </w:r>
      <w:r w:rsidRPr="004013B5">
        <w:rPr>
          <w:rFonts w:ascii="Times New Roman" w:eastAsia="宋体" w:hAnsi="Times New Roman" w:cs="Times New Roman"/>
          <w:szCs w:val="21"/>
        </w:rPr>
        <w:t>的</w:t>
      </w:r>
      <w:r w:rsidRPr="004013B5">
        <w:rPr>
          <w:rFonts w:ascii="Times New Roman" w:eastAsia="宋体" w:hAnsi="Times New Roman" w:cs="Times New Roman"/>
          <w:szCs w:val="21"/>
        </w:rPr>
        <w:t>PRB</w:t>
      </w:r>
      <w:r w:rsidRPr="004013B5">
        <w:rPr>
          <w:rFonts w:ascii="Times New Roman" w:eastAsia="宋体" w:hAnsi="Times New Roman" w:cs="Times New Roman"/>
          <w:szCs w:val="21"/>
        </w:rPr>
        <w:t>，有多种方式进行开挖和回填。由于深度较大，回填时常采用生物泥浆运送反应材料，通常是采用</w:t>
      </w:r>
      <w:proofErr w:type="gramStart"/>
      <w:r w:rsidRPr="004013B5">
        <w:rPr>
          <w:rFonts w:ascii="Times New Roman" w:eastAsia="宋体" w:hAnsi="Times New Roman" w:cs="Times New Roman"/>
          <w:szCs w:val="21"/>
        </w:rPr>
        <w:t>瓜尔豆胶</w:t>
      </w:r>
      <w:proofErr w:type="gramEnd"/>
      <w:r w:rsidRPr="004013B5">
        <w:rPr>
          <w:rFonts w:ascii="Times New Roman" w:eastAsia="宋体" w:hAnsi="Times New Roman" w:cs="Times New Roman"/>
          <w:szCs w:val="21"/>
        </w:rPr>
        <w:t>，并在混合物中添加酶，可以使</w:t>
      </w:r>
      <w:proofErr w:type="gramStart"/>
      <w:r w:rsidRPr="004013B5">
        <w:rPr>
          <w:rFonts w:ascii="Times New Roman" w:eastAsia="宋体" w:hAnsi="Times New Roman" w:cs="Times New Roman"/>
          <w:szCs w:val="21"/>
        </w:rPr>
        <w:t>瓜尔豆胶</w:t>
      </w:r>
      <w:proofErr w:type="gramEnd"/>
      <w:r w:rsidRPr="004013B5">
        <w:rPr>
          <w:rFonts w:ascii="Times New Roman" w:eastAsia="宋体" w:hAnsi="Times New Roman" w:cs="Times New Roman"/>
          <w:szCs w:val="21"/>
        </w:rPr>
        <w:t>在几天内降解，留下空隙，形成高渗透性的结构。采用该胶时，安装前先测试地下水的化学性质是否与反应材料和生物泥浆的混合物相适合，以确定生物泥浆能否在合适的时间内得到降解。</w:t>
      </w:r>
    </w:p>
    <w:p w14:paraId="5AF296F4"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采用深层土壤混合法时，一般采用螺旋钻机进行钻挖和回填，随着螺旋钻在土壤中缓慢推进，将生物泥浆和反应材料的混合物注入并与土壤混合。在松散的沉积层中可将反应材料放置到地表下近</w:t>
      </w:r>
      <w:r w:rsidRPr="004013B5">
        <w:rPr>
          <w:rFonts w:ascii="Times New Roman" w:eastAsia="宋体" w:hAnsi="Times New Roman" w:cs="Times New Roman"/>
          <w:szCs w:val="21"/>
        </w:rPr>
        <w:t>50 m</w:t>
      </w:r>
      <w:r w:rsidRPr="004013B5">
        <w:rPr>
          <w:rFonts w:ascii="Times New Roman" w:eastAsia="宋体" w:hAnsi="Times New Roman" w:cs="Times New Roman"/>
          <w:szCs w:val="21"/>
        </w:rPr>
        <w:t>处。</w:t>
      </w:r>
    </w:p>
    <w:p w14:paraId="2795E961" w14:textId="77777777" w:rsidR="008F6058" w:rsidRPr="004013B5" w:rsidRDefault="00664EDD">
      <w:pPr>
        <w:ind w:firstLineChars="200" w:firstLine="420"/>
        <w:rPr>
          <w:rFonts w:ascii="Times New Roman" w:eastAsia="宋体" w:hAnsi="Times New Roman" w:cs="Times New Roman"/>
          <w:szCs w:val="21"/>
        </w:rPr>
      </w:pPr>
      <w:proofErr w:type="gramStart"/>
      <w:r w:rsidRPr="004013B5">
        <w:rPr>
          <w:rFonts w:ascii="Times New Roman" w:eastAsia="宋体" w:hAnsi="Times New Roman" w:cs="Times New Roman" w:hint="eastAsia"/>
          <w:szCs w:val="21"/>
        </w:rPr>
        <w:t>采用旋喷注入</w:t>
      </w:r>
      <w:proofErr w:type="gramEnd"/>
      <w:r w:rsidRPr="004013B5">
        <w:rPr>
          <w:rFonts w:ascii="Times New Roman" w:eastAsia="宋体" w:hAnsi="Times New Roman" w:cs="Times New Roman" w:hint="eastAsia"/>
          <w:szCs w:val="21"/>
        </w:rPr>
        <w:t>法时，将喷注工具推进到需要的深度，通过管口高压注射反应材料和生物泥浆，连续喷注一系列的钻孔形成可渗透反应墙。垂直水力压裂法是将专用工具放入钻孔中来定向垂直裂缝，利用低速高压水流，将材料注入土壤层，形成裂缝，由一系列并排邻近的钻孔水力压裂形成渗透反应墙。</w:t>
      </w:r>
    </w:p>
    <w:p w14:paraId="3D2706CE"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10.2.4.3</w:t>
      </w:r>
      <w:r w:rsidRPr="004013B5">
        <w:rPr>
          <w:rFonts w:ascii="Times New Roman" w:eastAsia="宋体" w:hAnsi="Times New Roman" w:cs="Times New Roman" w:hint="eastAsia"/>
          <w:szCs w:val="21"/>
        </w:rPr>
        <w:t>运行维护和监测</w:t>
      </w:r>
    </w:p>
    <w:p w14:paraId="1D3CDB23"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PRB</w:t>
      </w:r>
      <w:r w:rsidRPr="004013B5">
        <w:rPr>
          <w:rFonts w:ascii="Times New Roman" w:eastAsia="宋体" w:hAnsi="Times New Roman" w:cs="Times New Roman"/>
          <w:szCs w:val="21"/>
        </w:rPr>
        <w:t>建好后，需进行长期观测、运行和管理。其运行维护相对简单，运行过程中仅需在长期监测的基础上对反应介质进行定期更换。为了精确测量监测效果，需在</w:t>
      </w:r>
      <w:r w:rsidRPr="004013B5">
        <w:rPr>
          <w:rFonts w:ascii="Times New Roman" w:eastAsia="宋体" w:hAnsi="Times New Roman" w:cs="Times New Roman"/>
          <w:szCs w:val="21"/>
        </w:rPr>
        <w:t>PRB</w:t>
      </w:r>
      <w:r w:rsidRPr="004013B5">
        <w:rPr>
          <w:rFonts w:ascii="Times New Roman" w:eastAsia="宋体" w:hAnsi="Times New Roman" w:cs="Times New Roman"/>
          <w:szCs w:val="21"/>
        </w:rPr>
        <w:t>上下游及</w:t>
      </w:r>
      <w:r w:rsidRPr="004013B5">
        <w:rPr>
          <w:rFonts w:ascii="Times New Roman" w:eastAsia="宋体" w:hAnsi="Times New Roman" w:cs="Times New Roman"/>
          <w:szCs w:val="21"/>
        </w:rPr>
        <w:t>PRB</w:t>
      </w:r>
      <w:r w:rsidRPr="004013B5">
        <w:rPr>
          <w:rFonts w:ascii="Times New Roman" w:eastAsia="宋体" w:hAnsi="Times New Roman" w:cs="Times New Roman"/>
          <w:szCs w:val="21"/>
        </w:rPr>
        <w:t>内布置监测井观测水位深度变化，并周期性地监测相关的水文地质化学参数、流速等。监测井的布置要保证能够捕获污染羽流的运动方向，因此应在浓度较高或接近反应墙的位置集中布置监测井。常用的监测指标有目标污染物、降解中间产物、氧化还原电位等。</w:t>
      </w:r>
    </w:p>
    <w:p w14:paraId="42AFA070" w14:textId="1356F025" w:rsidR="008F6058" w:rsidRPr="004013B5" w:rsidRDefault="00664EDD" w:rsidP="002336D1">
      <w:pPr>
        <w:spacing w:beforeLines="50" w:before="156" w:afterLines="50" w:after="156"/>
        <w:outlineLvl w:val="1"/>
        <w:rPr>
          <w:rFonts w:ascii="黑体" w:eastAsia="黑体" w:hAnsi="黑体" w:cs="Times New Roman"/>
          <w:szCs w:val="21"/>
        </w:rPr>
      </w:pPr>
      <w:bookmarkStart w:id="41" w:name="_Toc142689415"/>
      <w:r w:rsidRPr="004013B5">
        <w:rPr>
          <w:rFonts w:ascii="黑体" w:eastAsia="黑体" w:hAnsi="黑体" w:cs="Times New Roman"/>
          <w:szCs w:val="21"/>
        </w:rPr>
        <w:t>10.3</w:t>
      </w:r>
      <w:r w:rsidR="002A34F5" w:rsidRPr="004013B5">
        <w:rPr>
          <w:rFonts w:ascii="黑体" w:eastAsia="黑体" w:hAnsi="黑体" w:cs="Times New Roman"/>
          <w:szCs w:val="21"/>
        </w:rPr>
        <w:t xml:space="preserve"> </w:t>
      </w:r>
      <w:r w:rsidRPr="004013B5">
        <w:rPr>
          <w:rFonts w:ascii="黑体" w:eastAsia="黑体" w:hAnsi="黑体" w:cs="Times New Roman" w:hint="eastAsia"/>
          <w:szCs w:val="21"/>
        </w:rPr>
        <w:t>土壤功能修复及生态重构技术</w:t>
      </w:r>
      <w:bookmarkEnd w:id="41"/>
    </w:p>
    <w:p w14:paraId="66AAB08B"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针对有色冶炼场地土壤功能退化、污染物迁移风险高等问题，基于土壤物理、化学、生物学特征，构建冶炼场地退化系统快速诊断体系，研发有色冶炼场地退化土壤</w:t>
      </w:r>
      <w:proofErr w:type="gramStart"/>
      <w:r w:rsidRPr="004013B5">
        <w:rPr>
          <w:rFonts w:ascii="Times New Roman" w:eastAsia="宋体" w:hAnsi="Times New Roman" w:cs="Times New Roman" w:hint="eastAsia"/>
          <w:szCs w:val="21"/>
        </w:rPr>
        <w:t>适</w:t>
      </w:r>
      <w:proofErr w:type="gramEnd"/>
      <w:r w:rsidRPr="004013B5">
        <w:rPr>
          <w:rFonts w:ascii="Times New Roman" w:eastAsia="宋体" w:hAnsi="Times New Roman" w:cs="Times New Roman" w:hint="eastAsia"/>
          <w:szCs w:val="21"/>
        </w:rPr>
        <w:t>生性调控技术及有色冶炼场地微生物</w:t>
      </w:r>
      <w:r w:rsidRPr="004013B5">
        <w:rPr>
          <w:rFonts w:ascii="Times New Roman" w:eastAsia="宋体" w:hAnsi="Times New Roman" w:cs="Times New Roman"/>
          <w:szCs w:val="21"/>
        </w:rPr>
        <w:t>-</w:t>
      </w:r>
      <w:r w:rsidRPr="004013B5">
        <w:rPr>
          <w:rFonts w:ascii="Times New Roman" w:eastAsia="宋体" w:hAnsi="Times New Roman" w:cs="Times New Roman"/>
          <w:szCs w:val="21"/>
        </w:rPr>
        <w:t>植物联合生态修复技术。通过物理</w:t>
      </w:r>
      <w:r w:rsidRPr="004013B5">
        <w:rPr>
          <w:rFonts w:ascii="Times New Roman" w:eastAsia="宋体" w:hAnsi="Times New Roman" w:cs="Times New Roman"/>
          <w:szCs w:val="21"/>
        </w:rPr>
        <w:t>-</w:t>
      </w:r>
      <w:r w:rsidRPr="004013B5">
        <w:rPr>
          <w:rFonts w:ascii="Times New Roman" w:eastAsia="宋体" w:hAnsi="Times New Roman" w:cs="Times New Roman"/>
          <w:szCs w:val="21"/>
        </w:rPr>
        <w:t>化学</w:t>
      </w:r>
      <w:r w:rsidRPr="004013B5">
        <w:rPr>
          <w:rFonts w:ascii="Times New Roman" w:eastAsia="宋体" w:hAnsi="Times New Roman" w:cs="Times New Roman"/>
          <w:szCs w:val="21"/>
        </w:rPr>
        <w:t>-</w:t>
      </w:r>
      <w:r w:rsidRPr="004013B5">
        <w:rPr>
          <w:rFonts w:ascii="Times New Roman" w:eastAsia="宋体" w:hAnsi="Times New Roman" w:cs="Times New Roman"/>
          <w:szCs w:val="21"/>
        </w:rPr>
        <w:t>生物方法联用，实现有色金属冶炼场地土壤功能修复及生态重构。</w:t>
      </w:r>
    </w:p>
    <w:p w14:paraId="3D43A5C1"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10.3.1</w:t>
      </w:r>
      <w:r w:rsidRPr="004013B5">
        <w:rPr>
          <w:rFonts w:ascii="Times New Roman" w:eastAsia="宋体" w:hAnsi="Times New Roman" w:cs="Times New Roman"/>
          <w:szCs w:val="21"/>
        </w:rPr>
        <w:t>生态重构工程</w:t>
      </w:r>
    </w:p>
    <w:p w14:paraId="673AAE1C"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由主体工程、配套设施工程和检测与管护工程组成。生态重构主体工程主要包括土壤修复工程、阻隔层布设、土壤复垦、植被重建和养护等。</w:t>
      </w:r>
    </w:p>
    <w:p w14:paraId="51364F92"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10.3.2</w:t>
      </w:r>
      <w:r w:rsidRPr="004013B5">
        <w:rPr>
          <w:rFonts w:ascii="Times New Roman" w:eastAsia="宋体" w:hAnsi="Times New Roman" w:cs="Times New Roman"/>
          <w:szCs w:val="21"/>
        </w:rPr>
        <w:t>土壤修复工程</w:t>
      </w:r>
    </w:p>
    <w:p w14:paraId="2B97875B"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包括土壤修复材料选择、工艺参数确定及土壤修复工程实施，以实现土壤重金属修复目标及土壤功能恢复目标。阻隔层布设包括阻隔材料选择与铺设。土壤复垦包括清洁土层铺设与土层平整改良工艺措</w:t>
      </w:r>
      <w:r w:rsidRPr="004013B5">
        <w:rPr>
          <w:rFonts w:ascii="Times New Roman" w:eastAsia="宋体" w:hAnsi="Times New Roman" w:cs="Times New Roman"/>
          <w:szCs w:val="21"/>
        </w:rPr>
        <w:lastRenderedPageBreak/>
        <w:t>施。</w:t>
      </w:r>
    </w:p>
    <w:p w14:paraId="6F307670" w14:textId="77777777" w:rsidR="008F6058" w:rsidRPr="004013B5" w:rsidRDefault="00664EDD">
      <w:pPr>
        <w:rPr>
          <w:rFonts w:ascii="Times New Roman" w:eastAsia="宋体" w:hAnsi="Times New Roman" w:cs="Times New Roman"/>
          <w:szCs w:val="21"/>
        </w:rPr>
      </w:pPr>
      <w:r w:rsidRPr="004013B5">
        <w:rPr>
          <w:rFonts w:ascii="Times New Roman" w:eastAsia="宋体" w:hAnsi="Times New Roman" w:cs="Times New Roman"/>
          <w:szCs w:val="21"/>
        </w:rPr>
        <w:t>10.3.3</w:t>
      </w:r>
      <w:r w:rsidRPr="004013B5">
        <w:rPr>
          <w:rFonts w:ascii="Times New Roman" w:eastAsia="宋体" w:hAnsi="Times New Roman" w:cs="Times New Roman"/>
          <w:szCs w:val="21"/>
        </w:rPr>
        <w:t>植被重建与养护</w:t>
      </w:r>
    </w:p>
    <w:p w14:paraId="313C925C"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szCs w:val="21"/>
        </w:rPr>
        <w:t>包括植被材料选择</w:t>
      </w:r>
      <w:r w:rsidRPr="004013B5">
        <w:rPr>
          <w:rFonts w:ascii="Times New Roman" w:eastAsia="宋体" w:hAnsi="Times New Roman" w:cs="Times New Roman" w:hint="eastAsia"/>
          <w:szCs w:val="21"/>
        </w:rPr>
        <w:t>、</w:t>
      </w:r>
      <w:r w:rsidRPr="004013B5">
        <w:rPr>
          <w:rFonts w:ascii="Times New Roman" w:eastAsia="宋体" w:hAnsi="Times New Roman" w:cs="Times New Roman"/>
          <w:szCs w:val="21"/>
        </w:rPr>
        <w:t>植被恢复与养护。配套设施工程主要包括辅助设施（给排水和消防系统、视频监控系统、配电室、控制室、检测分析室、处置车间、化学品仓库、围墙、道路、和周边绿化工程等）和生活设施（办公室、休息室、卫生间、浴室、更衣室及其它生活设施等）。检测与养护工程主要包括固化</w:t>
      </w:r>
      <w:r w:rsidRPr="004013B5">
        <w:rPr>
          <w:rFonts w:ascii="Times New Roman" w:eastAsia="宋体" w:hAnsi="Times New Roman" w:cs="Times New Roman"/>
          <w:szCs w:val="21"/>
        </w:rPr>
        <w:t>/</w:t>
      </w:r>
      <w:r w:rsidRPr="004013B5">
        <w:rPr>
          <w:rFonts w:ascii="Times New Roman" w:eastAsia="宋体" w:hAnsi="Times New Roman" w:cs="Times New Roman"/>
          <w:szCs w:val="21"/>
        </w:rPr>
        <w:t>稳定化养护及植物重建养护。</w:t>
      </w:r>
    </w:p>
    <w:p w14:paraId="7BC7AE02" w14:textId="77777777" w:rsidR="008F6058" w:rsidRPr="004013B5" w:rsidRDefault="00664EDD">
      <w:pPr>
        <w:spacing w:beforeLines="100" w:before="312" w:afterLines="100" w:after="312"/>
        <w:outlineLvl w:val="0"/>
        <w:rPr>
          <w:rFonts w:ascii="黑体" w:eastAsia="黑体" w:hAnsi="黑体" w:cs="Times New Roman"/>
          <w:b/>
          <w:bCs/>
          <w:szCs w:val="21"/>
        </w:rPr>
      </w:pPr>
      <w:bookmarkStart w:id="42" w:name="_Toc142689416"/>
      <w:r w:rsidRPr="004013B5">
        <w:rPr>
          <w:rFonts w:ascii="黑体" w:eastAsia="黑体" w:hAnsi="黑体" w:cs="Times New Roman"/>
          <w:b/>
          <w:bCs/>
          <w:szCs w:val="21"/>
        </w:rPr>
        <w:t xml:space="preserve">11 </w:t>
      </w:r>
      <w:r w:rsidRPr="004013B5">
        <w:rPr>
          <w:rFonts w:ascii="黑体" w:eastAsia="黑体" w:hAnsi="黑体" w:cs="Times New Roman" w:hint="eastAsia"/>
          <w:b/>
          <w:bCs/>
          <w:szCs w:val="21"/>
        </w:rPr>
        <w:t>制定修复技术方案</w:t>
      </w:r>
      <w:bookmarkEnd w:id="42"/>
    </w:p>
    <w:p w14:paraId="366B73B8"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根据确定的修复技术和场地暴露情景制定详细的污染场地修复技术方案，主要内容包括确定修复技术的集成和工艺参数、制定场地修复的监测计划、估算理论土方量、分析成本—效益和环境影响等。</w:t>
      </w:r>
    </w:p>
    <w:p w14:paraId="53433063"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根据场地地下水修复和风险管控模式、技术筛选的结果，结合场地管理要求等因素，采用一种或多种技术优化组合集成制定技术路线。技术路线应反映地下水修复和风险管控的总体思路、方式、工艺流程等，还应包括工程实施过程中二次污染物的处理等。</w:t>
      </w:r>
    </w:p>
    <w:p w14:paraId="53A417EF" w14:textId="09477909" w:rsidR="008F6058" w:rsidRPr="004013B5" w:rsidRDefault="00664EDD" w:rsidP="002336D1">
      <w:pPr>
        <w:spacing w:beforeLines="50" w:before="156" w:afterLines="50" w:after="156"/>
        <w:outlineLvl w:val="1"/>
        <w:rPr>
          <w:rFonts w:ascii="黑体" w:eastAsia="黑体" w:hAnsi="黑体" w:cs="Times New Roman"/>
          <w:szCs w:val="21"/>
        </w:rPr>
      </w:pPr>
      <w:bookmarkStart w:id="43" w:name="_Toc142689417"/>
      <w:r w:rsidRPr="004013B5">
        <w:rPr>
          <w:rFonts w:ascii="黑体" w:eastAsia="黑体" w:hAnsi="黑体" w:cs="Times New Roman"/>
          <w:szCs w:val="21"/>
        </w:rPr>
        <w:t>11.1</w:t>
      </w:r>
      <w:r w:rsidR="002A34F5" w:rsidRPr="004013B5">
        <w:rPr>
          <w:rFonts w:ascii="黑体" w:eastAsia="黑体" w:hAnsi="黑体" w:cs="Times New Roman"/>
          <w:szCs w:val="21"/>
        </w:rPr>
        <w:t xml:space="preserve"> </w:t>
      </w:r>
      <w:r w:rsidRPr="004013B5">
        <w:rPr>
          <w:rFonts w:ascii="黑体" w:eastAsia="黑体" w:hAnsi="黑体" w:cs="Times New Roman" w:hint="eastAsia"/>
          <w:szCs w:val="21"/>
        </w:rPr>
        <w:t>集成修复技术</w:t>
      </w:r>
      <w:bookmarkEnd w:id="43"/>
    </w:p>
    <w:p w14:paraId="59372116"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应根据场地污染的复杂性和污染物浓度水平集成污染场地修复技术。如果场地是多种污染物共存的复合型污染，首先应根据单一污染物分别选择修复技术，然后将多种技术进行组合；污染物浓度较高时，一般应选择物理化学修复技术，污染物浓度较低时，一般应选择生物修复技术。</w:t>
      </w:r>
    </w:p>
    <w:p w14:paraId="32FD2D19" w14:textId="15FB0D96" w:rsidR="008F6058" w:rsidRPr="004013B5" w:rsidRDefault="00664EDD" w:rsidP="002336D1">
      <w:pPr>
        <w:spacing w:beforeLines="50" w:before="156" w:afterLines="50" w:after="156"/>
        <w:outlineLvl w:val="1"/>
        <w:rPr>
          <w:rFonts w:ascii="黑体" w:eastAsia="黑体" w:hAnsi="黑体" w:cs="Times New Roman"/>
          <w:szCs w:val="21"/>
        </w:rPr>
      </w:pPr>
      <w:bookmarkStart w:id="44" w:name="_Toc142689418"/>
      <w:r w:rsidRPr="004013B5">
        <w:rPr>
          <w:rFonts w:ascii="黑体" w:eastAsia="黑体" w:hAnsi="黑体" w:cs="Times New Roman"/>
          <w:szCs w:val="21"/>
        </w:rPr>
        <w:t>11.2</w:t>
      </w:r>
      <w:r w:rsidR="002A34F5" w:rsidRPr="004013B5">
        <w:rPr>
          <w:rFonts w:ascii="黑体" w:eastAsia="黑体" w:hAnsi="黑体" w:cs="Times New Roman"/>
          <w:szCs w:val="21"/>
        </w:rPr>
        <w:t xml:space="preserve"> </w:t>
      </w:r>
      <w:r w:rsidRPr="004013B5">
        <w:rPr>
          <w:rFonts w:ascii="黑体" w:eastAsia="黑体" w:hAnsi="黑体" w:cs="Times New Roman" w:hint="eastAsia"/>
          <w:szCs w:val="21"/>
        </w:rPr>
        <w:t>确定修复技术的工艺参数</w:t>
      </w:r>
      <w:bookmarkEnd w:id="44"/>
    </w:p>
    <w:p w14:paraId="35B7E556"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土壤修复技术的工艺参数应通过实验室小试和</w:t>
      </w:r>
      <w:r w:rsidRPr="004013B5">
        <w:rPr>
          <w:rFonts w:ascii="Times New Roman" w:eastAsia="宋体" w:hAnsi="Times New Roman" w:cs="Times New Roman"/>
          <w:szCs w:val="21"/>
        </w:rPr>
        <w:t>/</w:t>
      </w:r>
      <w:r w:rsidRPr="004013B5">
        <w:rPr>
          <w:rFonts w:ascii="Times New Roman" w:eastAsia="宋体" w:hAnsi="Times New Roman" w:cs="Times New Roman"/>
          <w:szCs w:val="21"/>
        </w:rPr>
        <w:t>或现场中试获得。工艺参数包括但不限于药剂投加量或比例、设备影响半径、设备处理能力、处理需要时间、处理条件、能耗、设备占地面积或作业区面积等。</w:t>
      </w:r>
    </w:p>
    <w:p w14:paraId="6AE5D221"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地下水修复和风险管控技术的工艺参数通过总结实验室小试、现场中试和模拟分析结果确定，技术的工艺参数包括但不局限于抽出或注入量、影响半径，修复材料的投加比、投加的方式和浓度，阻隔措施的规模、材料、规格和安装要求等，地上处理单元的处理量和处理效率等。</w:t>
      </w:r>
    </w:p>
    <w:p w14:paraId="0DBB3D8B" w14:textId="5B44F9A0" w:rsidR="008F6058" w:rsidRPr="004013B5" w:rsidRDefault="00664EDD" w:rsidP="002336D1">
      <w:pPr>
        <w:spacing w:beforeLines="50" w:before="156" w:afterLines="50" w:after="156"/>
        <w:outlineLvl w:val="1"/>
        <w:rPr>
          <w:rFonts w:ascii="黑体" w:eastAsia="黑体" w:hAnsi="黑体" w:cs="Times New Roman"/>
          <w:szCs w:val="21"/>
        </w:rPr>
      </w:pPr>
      <w:bookmarkStart w:id="45" w:name="_Toc142689419"/>
      <w:r w:rsidRPr="004013B5">
        <w:rPr>
          <w:rFonts w:ascii="黑体" w:eastAsia="黑体" w:hAnsi="黑体" w:cs="Times New Roman"/>
          <w:szCs w:val="21"/>
        </w:rPr>
        <w:t>11.3</w:t>
      </w:r>
      <w:r w:rsidR="002A34F5" w:rsidRPr="004013B5">
        <w:rPr>
          <w:rFonts w:ascii="黑体" w:eastAsia="黑体" w:hAnsi="黑体" w:cs="Times New Roman"/>
          <w:szCs w:val="21"/>
        </w:rPr>
        <w:t xml:space="preserve"> </w:t>
      </w:r>
      <w:r w:rsidRPr="004013B5">
        <w:rPr>
          <w:rFonts w:ascii="黑体" w:eastAsia="黑体" w:hAnsi="黑体" w:cs="Times New Roman"/>
          <w:szCs w:val="21"/>
        </w:rPr>
        <w:t>估算修复工程量</w:t>
      </w:r>
      <w:bookmarkEnd w:id="45"/>
    </w:p>
    <w:p w14:paraId="6334B338"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根据技术路线，按照确定的单一修复技术或修复技术组合的方案，结合工艺流程和参数，估算每个修复方案的修复工程量。根据修复方案的不同，修复工程量可能是调查和评估阶段确定的土壤处理和处置所需工程量，也可能是方案涉及的工程量，还应考虑土壤修复过程中受污染水体、气体和固体废物等的无害化处理处置的工程量。</w:t>
      </w:r>
    </w:p>
    <w:p w14:paraId="77CC4E3F" w14:textId="00294991" w:rsidR="008F6058" w:rsidRPr="004013B5" w:rsidRDefault="00664EDD" w:rsidP="002336D1">
      <w:pPr>
        <w:spacing w:beforeLines="50" w:before="156" w:afterLines="50" w:after="156"/>
        <w:outlineLvl w:val="1"/>
        <w:rPr>
          <w:rFonts w:ascii="黑体" w:eastAsia="黑体" w:hAnsi="黑体" w:cs="Times New Roman"/>
          <w:szCs w:val="21"/>
        </w:rPr>
      </w:pPr>
      <w:bookmarkStart w:id="46" w:name="_Toc142689420"/>
      <w:r w:rsidRPr="004013B5">
        <w:rPr>
          <w:rFonts w:ascii="黑体" w:eastAsia="黑体" w:hAnsi="黑体" w:cs="Times New Roman"/>
          <w:szCs w:val="21"/>
        </w:rPr>
        <w:t>11.4</w:t>
      </w:r>
      <w:r w:rsidR="002A34F5" w:rsidRPr="004013B5">
        <w:rPr>
          <w:rFonts w:ascii="黑体" w:eastAsia="黑体" w:hAnsi="黑体" w:cs="Times New Roman"/>
          <w:szCs w:val="21"/>
        </w:rPr>
        <w:t xml:space="preserve"> </w:t>
      </w:r>
      <w:r w:rsidRPr="004013B5">
        <w:rPr>
          <w:rFonts w:ascii="黑体" w:eastAsia="黑体" w:hAnsi="黑体" w:cs="Times New Roman"/>
          <w:szCs w:val="21"/>
        </w:rPr>
        <w:t>估算费用和周期</w:t>
      </w:r>
      <w:bookmarkEnd w:id="46"/>
    </w:p>
    <w:p w14:paraId="73E2BE18"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根据地块修复工程量，估算并比较不同修复方案所产生的修复费用，包括直接费用和间接费用。直接费用主要包括修复工程主体设备、材料、工程实施等费用，间接费用包括修复工程监测、工程监理、质量控制、健康安全防护和二次污染防范措施等费用。应根据工程量、工程设计、建设和运行时间、效果评估和后期环境监管要求等进行周期估算。</w:t>
      </w:r>
    </w:p>
    <w:p w14:paraId="5CA39E9F" w14:textId="4AF7FC5E" w:rsidR="008F6058" w:rsidRPr="004013B5" w:rsidRDefault="00664EDD" w:rsidP="002336D1">
      <w:pPr>
        <w:spacing w:beforeLines="50" w:before="156" w:afterLines="50" w:after="156"/>
        <w:outlineLvl w:val="1"/>
        <w:rPr>
          <w:rFonts w:ascii="黑体" w:eastAsia="黑体" w:hAnsi="黑体" w:cs="Times New Roman"/>
          <w:szCs w:val="21"/>
        </w:rPr>
      </w:pPr>
      <w:bookmarkStart w:id="47" w:name="_Toc142689421"/>
      <w:r w:rsidRPr="004013B5">
        <w:rPr>
          <w:rFonts w:ascii="黑体" w:eastAsia="黑体" w:hAnsi="黑体" w:cs="Times New Roman"/>
          <w:szCs w:val="21"/>
        </w:rPr>
        <w:t>11.5</w:t>
      </w:r>
      <w:r w:rsidR="002A34F5" w:rsidRPr="004013B5">
        <w:rPr>
          <w:rFonts w:ascii="黑体" w:eastAsia="黑体" w:hAnsi="黑体" w:cs="Times New Roman"/>
          <w:szCs w:val="21"/>
        </w:rPr>
        <w:t xml:space="preserve"> </w:t>
      </w:r>
      <w:r w:rsidRPr="004013B5">
        <w:rPr>
          <w:rFonts w:ascii="黑体" w:eastAsia="黑体" w:hAnsi="黑体" w:cs="Times New Roman"/>
          <w:szCs w:val="21"/>
        </w:rPr>
        <w:t>制定场地修复的监测计划</w:t>
      </w:r>
      <w:bookmarkEnd w:id="47"/>
    </w:p>
    <w:p w14:paraId="0C091600"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场地修复的监测计划可以分为修复前的补充监测计划和修复过程监测计划。如果场地环境调查报告不能提供确定需修复的范围、面积、深度等修复工程实施所必需的信息，应制定修复前的补充监测计划；如果拟采用的修复技术（如自然降解和生物降解等）在工程实施时需要实时了解修复过程中修复效果，及时确定修复结束的节点，则应制定修复过程监测计划。</w:t>
      </w:r>
    </w:p>
    <w:p w14:paraId="539DC87A"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污染场地修复前的补充监测计划和修复过程监测计划的内容应包括但不限于监测目的、布点原则、点位分布、检测项目、监测进度安排、监测的可行性分析、监测的工作步骤等。检测项目通常是第二阶</w:t>
      </w:r>
      <w:r w:rsidRPr="004013B5">
        <w:rPr>
          <w:rFonts w:ascii="Times New Roman" w:eastAsia="宋体" w:hAnsi="Times New Roman" w:cs="Times New Roman" w:hint="eastAsia"/>
          <w:szCs w:val="21"/>
        </w:rPr>
        <w:lastRenderedPageBreak/>
        <w:t>段场地调查结果和风险评估结果中超标的项目或超过风险可接受水平的项目；对于修复过程监测计划，可增设修复过程中可能产生的项目，如生物降解过程中的中间产物。</w:t>
      </w:r>
    </w:p>
    <w:p w14:paraId="6720DF49"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监测点</w:t>
      </w:r>
      <w:proofErr w:type="gramStart"/>
      <w:r w:rsidRPr="004013B5">
        <w:rPr>
          <w:rFonts w:ascii="Times New Roman" w:eastAsia="宋体" w:hAnsi="Times New Roman" w:cs="Times New Roman" w:hint="eastAsia"/>
          <w:szCs w:val="21"/>
        </w:rPr>
        <w:t>位一般</w:t>
      </w:r>
      <w:proofErr w:type="gramEnd"/>
      <w:r w:rsidRPr="004013B5">
        <w:rPr>
          <w:rFonts w:ascii="Times New Roman" w:eastAsia="宋体" w:hAnsi="Times New Roman" w:cs="Times New Roman" w:hint="eastAsia"/>
          <w:szCs w:val="21"/>
        </w:rPr>
        <w:t>分布在挖掘点、挖掘土壤处理点、土壤修复点等。监测的进度安排应制定详细的监测时间表，给出监测的时间节点和频次等。</w:t>
      </w:r>
    </w:p>
    <w:p w14:paraId="7322F418" w14:textId="269980F0" w:rsidR="008F6058" w:rsidRPr="004013B5" w:rsidRDefault="00664EDD" w:rsidP="002336D1">
      <w:pPr>
        <w:spacing w:beforeLines="50" w:before="156" w:afterLines="50" w:after="156"/>
        <w:outlineLvl w:val="1"/>
        <w:rPr>
          <w:rFonts w:ascii="黑体" w:eastAsia="黑体" w:hAnsi="黑体" w:cs="Times New Roman"/>
          <w:szCs w:val="21"/>
        </w:rPr>
      </w:pPr>
      <w:bookmarkStart w:id="48" w:name="_Toc142689422"/>
      <w:r w:rsidRPr="004013B5">
        <w:rPr>
          <w:rFonts w:ascii="黑体" w:eastAsia="黑体" w:hAnsi="黑体" w:cs="Times New Roman"/>
          <w:szCs w:val="21"/>
        </w:rPr>
        <w:t>11.6</w:t>
      </w:r>
      <w:r w:rsidR="002A34F5" w:rsidRPr="004013B5">
        <w:rPr>
          <w:rFonts w:ascii="黑体" w:eastAsia="黑体" w:hAnsi="黑体" w:cs="Times New Roman"/>
          <w:szCs w:val="21"/>
        </w:rPr>
        <w:t xml:space="preserve"> </w:t>
      </w:r>
      <w:r w:rsidRPr="004013B5">
        <w:rPr>
          <w:rFonts w:ascii="黑体" w:eastAsia="黑体" w:hAnsi="黑体" w:cs="Times New Roman"/>
          <w:szCs w:val="21"/>
        </w:rPr>
        <w:t>成本效益分析</w:t>
      </w:r>
      <w:bookmarkEnd w:id="48"/>
    </w:p>
    <w:p w14:paraId="1EFB313C"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成本—效益分析包括污染场地修复工程的修复成本分析和环境效益分析两部分。修复成本分析应包括可行性研究、修复监测、修复工程设计、修复工程实施、健康安全防护、二次污染处理等每部分的成本及各部分成本在总成本中的比例。环境效益分析包括修复后地价提升效益、人体健康效益和生态环境效益，环境效益分析可根据每个污染场地修复项目的具体情况决定是否分析。</w:t>
      </w:r>
    </w:p>
    <w:p w14:paraId="259C8FA8" w14:textId="69F4306E" w:rsidR="008F6058" w:rsidRPr="004013B5" w:rsidRDefault="00664EDD" w:rsidP="002336D1">
      <w:pPr>
        <w:spacing w:beforeLines="50" w:before="156" w:afterLines="50" w:after="156"/>
        <w:outlineLvl w:val="1"/>
        <w:rPr>
          <w:rFonts w:ascii="黑体" w:eastAsia="黑体" w:hAnsi="黑体" w:cs="Times New Roman"/>
          <w:szCs w:val="21"/>
        </w:rPr>
      </w:pPr>
      <w:bookmarkStart w:id="49" w:name="_Toc142689423"/>
      <w:r w:rsidRPr="004013B5">
        <w:rPr>
          <w:rFonts w:ascii="黑体" w:eastAsia="黑体" w:hAnsi="黑体" w:cs="Times New Roman"/>
          <w:szCs w:val="21"/>
        </w:rPr>
        <w:t>11.7</w:t>
      </w:r>
      <w:r w:rsidR="002A34F5" w:rsidRPr="004013B5">
        <w:rPr>
          <w:rFonts w:ascii="黑体" w:eastAsia="黑体" w:hAnsi="黑体" w:cs="Times New Roman"/>
          <w:szCs w:val="21"/>
        </w:rPr>
        <w:t xml:space="preserve"> </w:t>
      </w:r>
      <w:r w:rsidRPr="004013B5">
        <w:rPr>
          <w:rFonts w:ascii="黑体" w:eastAsia="黑体" w:hAnsi="黑体" w:cs="Times New Roman"/>
          <w:szCs w:val="21"/>
        </w:rPr>
        <w:t>环境影响分析</w:t>
      </w:r>
      <w:bookmarkEnd w:id="49"/>
    </w:p>
    <w:p w14:paraId="023FF71A"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对于污染场地修复工程的实施，应分析修复工程的环境影响，内容包括修复工程预分析、污染物排放及控制分析。污染场地修复工程预分析内容包括修复工程的类型、规模、能源与资源用量、修复工程项目所在地的环境条件等。污染物排放及控制分析包括修复过程中污水、恶臭气体、扬尘、噪声等的排放特征，提出三废和噪声控制措施。对于环境影响可能较大的修复工程项目，应进行环境影响评价。</w:t>
      </w:r>
    </w:p>
    <w:p w14:paraId="6AF75677" w14:textId="57F2E378" w:rsidR="008F6058" w:rsidRPr="004013B5" w:rsidRDefault="00664EDD" w:rsidP="002336D1">
      <w:pPr>
        <w:spacing w:beforeLines="50" w:before="156" w:afterLines="50" w:after="156"/>
        <w:outlineLvl w:val="1"/>
        <w:rPr>
          <w:rFonts w:ascii="黑体" w:eastAsia="黑体" w:hAnsi="黑体" w:cs="Times New Roman"/>
          <w:szCs w:val="21"/>
        </w:rPr>
      </w:pPr>
      <w:bookmarkStart w:id="50" w:name="_Toc142689424"/>
      <w:r w:rsidRPr="004013B5">
        <w:rPr>
          <w:rFonts w:ascii="黑体" w:eastAsia="黑体" w:hAnsi="黑体" w:cs="Times New Roman"/>
          <w:szCs w:val="21"/>
        </w:rPr>
        <w:t>11.8</w:t>
      </w:r>
      <w:r w:rsidR="002A34F5" w:rsidRPr="004013B5">
        <w:rPr>
          <w:rFonts w:ascii="黑体" w:eastAsia="黑体" w:hAnsi="黑体" w:cs="Times New Roman"/>
          <w:szCs w:val="21"/>
        </w:rPr>
        <w:t xml:space="preserve"> </w:t>
      </w:r>
      <w:r w:rsidRPr="004013B5">
        <w:rPr>
          <w:rFonts w:ascii="黑体" w:eastAsia="黑体" w:hAnsi="黑体" w:cs="Times New Roman"/>
          <w:szCs w:val="21"/>
        </w:rPr>
        <w:t>施工进度计划</w:t>
      </w:r>
      <w:bookmarkEnd w:id="50"/>
    </w:p>
    <w:p w14:paraId="2DBD1203" w14:textId="77777777"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制定可</w:t>
      </w:r>
      <w:proofErr w:type="gramStart"/>
      <w:r w:rsidRPr="004013B5">
        <w:rPr>
          <w:rFonts w:ascii="Times New Roman" w:eastAsia="宋体" w:hAnsi="Times New Roman" w:cs="Times New Roman" w:hint="eastAsia"/>
          <w:szCs w:val="21"/>
        </w:rPr>
        <w:t>研</w:t>
      </w:r>
      <w:proofErr w:type="gramEnd"/>
      <w:r w:rsidRPr="004013B5">
        <w:rPr>
          <w:rFonts w:ascii="Times New Roman" w:eastAsia="宋体" w:hAnsi="Times New Roman" w:cs="Times New Roman" w:hint="eastAsia"/>
          <w:szCs w:val="21"/>
        </w:rPr>
        <w:t>、工程设计、监测、实施、验收等阶段的时间安排表。工程实施阶段的时间安排可以细化，制定每一阶段的时间安排表。</w:t>
      </w:r>
    </w:p>
    <w:p w14:paraId="4968D488" w14:textId="211E5FDD" w:rsidR="008F6058" w:rsidRPr="004013B5" w:rsidRDefault="00664EDD">
      <w:pPr>
        <w:spacing w:beforeLines="100" w:before="312" w:afterLines="100" w:after="312"/>
        <w:outlineLvl w:val="0"/>
        <w:rPr>
          <w:rFonts w:ascii="黑体" w:eastAsia="黑体" w:hAnsi="黑体" w:cs="Times New Roman"/>
          <w:b/>
          <w:bCs/>
          <w:szCs w:val="21"/>
        </w:rPr>
      </w:pPr>
      <w:bookmarkStart w:id="51" w:name="_Toc142689425"/>
      <w:r w:rsidRPr="004013B5">
        <w:rPr>
          <w:rFonts w:ascii="黑体" w:eastAsia="黑体" w:hAnsi="黑体" w:cs="Times New Roman"/>
          <w:b/>
          <w:bCs/>
          <w:szCs w:val="21"/>
        </w:rPr>
        <w:t>12</w:t>
      </w:r>
      <w:r w:rsidR="002A34F5" w:rsidRPr="004013B5">
        <w:rPr>
          <w:rFonts w:ascii="黑体" w:eastAsia="黑体" w:hAnsi="黑体" w:cs="Times New Roman"/>
          <w:b/>
          <w:bCs/>
          <w:szCs w:val="21"/>
        </w:rPr>
        <w:t xml:space="preserve"> </w:t>
      </w:r>
      <w:r w:rsidRPr="004013B5">
        <w:rPr>
          <w:rFonts w:ascii="黑体" w:eastAsia="黑体" w:hAnsi="黑体" w:cs="Times New Roman"/>
          <w:b/>
          <w:bCs/>
          <w:szCs w:val="21"/>
        </w:rPr>
        <w:t>制定环境管理计划</w:t>
      </w:r>
      <w:bookmarkEnd w:id="51"/>
    </w:p>
    <w:p w14:paraId="55AE3E45" w14:textId="5BDF3704" w:rsidR="008F6058" w:rsidRPr="004013B5"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地块土壤修复工程环境管理计划包括修复工程环境监测计划和环境应急安全计划。修复工程环境监测计划包括修复工程环境监理、二次污染监控和修复效果评估中的环境监测。应根据确定的最佳修复方案，结合地块污染特征和地块所处环境条件，有针对性地制定修复工程环境监测计划。相关技术要求按照</w:t>
      </w:r>
      <w:r w:rsidRPr="004013B5">
        <w:rPr>
          <w:rFonts w:ascii="Times New Roman" w:eastAsia="宋体" w:hAnsi="Times New Roman" w:cs="Times New Roman"/>
          <w:szCs w:val="21"/>
        </w:rPr>
        <w:t>HJ 25.2</w:t>
      </w:r>
      <w:r w:rsidRPr="004013B5">
        <w:rPr>
          <w:rFonts w:ascii="Times New Roman" w:eastAsia="宋体" w:hAnsi="Times New Roman" w:cs="Times New Roman"/>
          <w:szCs w:val="21"/>
        </w:rPr>
        <w:t>、</w:t>
      </w:r>
      <w:r w:rsidRPr="004013B5">
        <w:rPr>
          <w:rFonts w:ascii="Times New Roman" w:eastAsia="宋体" w:hAnsi="Times New Roman" w:cs="Times New Roman"/>
          <w:szCs w:val="21"/>
        </w:rPr>
        <w:t>HJ 25.5</w:t>
      </w:r>
      <w:r w:rsidRPr="004013B5">
        <w:rPr>
          <w:rFonts w:ascii="Times New Roman" w:eastAsia="宋体" w:hAnsi="Times New Roman" w:cs="Times New Roman"/>
          <w:szCs w:val="21"/>
        </w:rPr>
        <w:t>执行。</w:t>
      </w:r>
    </w:p>
    <w:p w14:paraId="1897C73E" w14:textId="77777777" w:rsidR="008F6058" w:rsidRDefault="00664EDD">
      <w:pPr>
        <w:ind w:firstLineChars="200" w:firstLine="420"/>
        <w:rPr>
          <w:rFonts w:ascii="Times New Roman" w:eastAsia="宋体" w:hAnsi="Times New Roman" w:cs="Times New Roman"/>
          <w:szCs w:val="21"/>
        </w:rPr>
      </w:pPr>
      <w:r w:rsidRPr="004013B5">
        <w:rPr>
          <w:rFonts w:ascii="Times New Roman" w:eastAsia="宋体" w:hAnsi="Times New Roman" w:cs="Times New Roman" w:hint="eastAsia"/>
          <w:szCs w:val="21"/>
        </w:rPr>
        <w:t>为确保地块修复过程中施工人员与周边居民的安全，应制定周密的地块修复工程环境应急安全计划，内容包括安全问题识别、需要采取的预防措施、突发事故时的应急措施、必须配备的安全防护装备和安全防护培训等。</w:t>
      </w:r>
    </w:p>
    <w:p w14:paraId="11C357C3" w14:textId="77777777" w:rsidR="008F6058" w:rsidRDefault="008F6058">
      <w:pPr>
        <w:rPr>
          <w:rFonts w:ascii="Times New Roman" w:eastAsia="宋体" w:hAnsi="Times New Roman" w:cs="Times New Roman"/>
          <w:sz w:val="24"/>
          <w:szCs w:val="24"/>
        </w:rPr>
      </w:pPr>
    </w:p>
    <w:sectPr w:rsidR="008F6058" w:rsidSect="000B276B">
      <w:footerReference w:type="default" r:id="rId15"/>
      <w:pgSz w:w="11906" w:h="16838"/>
      <w:pgMar w:top="567" w:right="1134" w:bottom="1134" w:left="1418"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C8A9D" w14:textId="77777777" w:rsidR="00F95D7C" w:rsidRDefault="00F95D7C" w:rsidP="00651FA7">
      <w:r>
        <w:separator/>
      </w:r>
    </w:p>
  </w:endnote>
  <w:endnote w:type="continuationSeparator" w:id="0">
    <w:p w14:paraId="6BA8A255" w14:textId="77777777" w:rsidR="00F95D7C" w:rsidRDefault="00F95D7C" w:rsidP="00651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黑体简体">
    <w:altName w:val="微软雅黑"/>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方正粗圆简体">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0B067" w14:textId="515383AA" w:rsidR="000B276B" w:rsidRDefault="000B276B">
    <w:pPr>
      <w:pStyle w:val="a7"/>
    </w:pPr>
  </w:p>
  <w:p w14:paraId="51CA791D" w14:textId="77777777" w:rsidR="000B276B" w:rsidRDefault="000B276B">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021135"/>
      <w:docPartObj>
        <w:docPartGallery w:val="Page Numbers (Bottom of Page)"/>
        <w:docPartUnique/>
      </w:docPartObj>
    </w:sdtPr>
    <w:sdtEndPr/>
    <w:sdtContent>
      <w:p w14:paraId="0424DDAB" w14:textId="050079CC" w:rsidR="006B68CF" w:rsidRDefault="006B68CF">
        <w:pPr>
          <w:pStyle w:val="a7"/>
          <w:jc w:val="center"/>
        </w:pPr>
        <w:r>
          <w:fldChar w:fldCharType="begin"/>
        </w:r>
        <w:r>
          <w:instrText>PAGE   \* MERGEFORMAT</w:instrText>
        </w:r>
        <w:r>
          <w:fldChar w:fldCharType="separate"/>
        </w:r>
        <w:r>
          <w:rPr>
            <w:lang w:val="zh-CN"/>
          </w:rPr>
          <w:t>2</w:t>
        </w:r>
        <w:r>
          <w:fldChar w:fldCharType="end"/>
        </w:r>
      </w:p>
    </w:sdtContent>
  </w:sdt>
  <w:p w14:paraId="56E2B998" w14:textId="13C67E34" w:rsidR="006B68CF" w:rsidRDefault="006B68CF">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9542439"/>
      <w:docPartObj>
        <w:docPartGallery w:val="Page Numbers (Bottom of Page)"/>
        <w:docPartUnique/>
      </w:docPartObj>
    </w:sdtPr>
    <w:sdtEndPr/>
    <w:sdtContent>
      <w:p w14:paraId="0833C253" w14:textId="12A6A30D" w:rsidR="000B276B" w:rsidRDefault="000B276B">
        <w:pPr>
          <w:pStyle w:val="a7"/>
          <w:jc w:val="right"/>
        </w:pPr>
        <w:r>
          <w:fldChar w:fldCharType="begin"/>
        </w:r>
        <w:r>
          <w:instrText>PAGE   \* MERGEFORMAT</w:instrText>
        </w:r>
        <w:r>
          <w:fldChar w:fldCharType="separate"/>
        </w:r>
        <w:r>
          <w:rPr>
            <w:lang w:val="zh-CN"/>
          </w:rPr>
          <w:t>2</w:t>
        </w:r>
        <w:r>
          <w:fldChar w:fldCharType="end"/>
        </w:r>
      </w:p>
    </w:sdtContent>
  </w:sdt>
  <w:p w14:paraId="543F013A" w14:textId="77777777" w:rsidR="00DB0398" w:rsidRDefault="00DB0398">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8411424"/>
      <w:docPartObj>
        <w:docPartGallery w:val="Page Numbers (Bottom of Page)"/>
        <w:docPartUnique/>
      </w:docPartObj>
    </w:sdtPr>
    <w:sdtEndPr/>
    <w:sdtContent>
      <w:p w14:paraId="5E2FD8DD" w14:textId="3BD3EAD7" w:rsidR="000B276B" w:rsidRDefault="000B276B">
        <w:pPr>
          <w:pStyle w:val="a7"/>
          <w:jc w:val="right"/>
        </w:pPr>
        <w:r>
          <w:fldChar w:fldCharType="begin"/>
        </w:r>
        <w:r>
          <w:instrText>PAGE   \* MERGEFORMAT</w:instrText>
        </w:r>
        <w:r>
          <w:fldChar w:fldCharType="separate"/>
        </w:r>
        <w:r>
          <w:rPr>
            <w:lang w:val="zh-CN"/>
          </w:rPr>
          <w:t>2</w:t>
        </w:r>
        <w:r>
          <w:fldChar w:fldCharType="end"/>
        </w:r>
      </w:p>
    </w:sdtContent>
  </w:sdt>
  <w:p w14:paraId="657ED2BF" w14:textId="77777777" w:rsidR="00DB0398" w:rsidRDefault="00DB039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A259F" w14:textId="77777777" w:rsidR="00F95D7C" w:rsidRDefault="00F95D7C" w:rsidP="00651FA7">
      <w:r>
        <w:separator/>
      </w:r>
    </w:p>
  </w:footnote>
  <w:footnote w:type="continuationSeparator" w:id="0">
    <w:p w14:paraId="1796B09B" w14:textId="77777777" w:rsidR="00F95D7C" w:rsidRDefault="00F95D7C" w:rsidP="00651F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gzNjJmNDFmNjk1YmUxMTc2ZTkyYzJjYjNiMDQ0YTcifQ=="/>
  </w:docVars>
  <w:rsids>
    <w:rsidRoot w:val="001C44A2"/>
    <w:rsid w:val="00004CDB"/>
    <w:rsid w:val="00012E28"/>
    <w:rsid w:val="000158D6"/>
    <w:rsid w:val="0001613B"/>
    <w:rsid w:val="00035062"/>
    <w:rsid w:val="0004188F"/>
    <w:rsid w:val="000451EB"/>
    <w:rsid w:val="00046CD2"/>
    <w:rsid w:val="000500D7"/>
    <w:rsid w:val="0005069B"/>
    <w:rsid w:val="000509E3"/>
    <w:rsid w:val="00056D9E"/>
    <w:rsid w:val="00060EDC"/>
    <w:rsid w:val="00074DDD"/>
    <w:rsid w:val="00075A11"/>
    <w:rsid w:val="00095520"/>
    <w:rsid w:val="000A343C"/>
    <w:rsid w:val="000A3ED5"/>
    <w:rsid w:val="000B122A"/>
    <w:rsid w:val="000B276B"/>
    <w:rsid w:val="000C5625"/>
    <w:rsid w:val="000D7E2D"/>
    <w:rsid w:val="000E4EB7"/>
    <w:rsid w:val="000E7AA8"/>
    <w:rsid w:val="000F3A92"/>
    <w:rsid w:val="00102470"/>
    <w:rsid w:val="00117D09"/>
    <w:rsid w:val="00123348"/>
    <w:rsid w:val="001373D1"/>
    <w:rsid w:val="00140D9E"/>
    <w:rsid w:val="001467A7"/>
    <w:rsid w:val="00156D02"/>
    <w:rsid w:val="00160D0E"/>
    <w:rsid w:val="00162F44"/>
    <w:rsid w:val="001674BE"/>
    <w:rsid w:val="00172739"/>
    <w:rsid w:val="00173645"/>
    <w:rsid w:val="00174013"/>
    <w:rsid w:val="00177B22"/>
    <w:rsid w:val="001866FB"/>
    <w:rsid w:val="00191057"/>
    <w:rsid w:val="0019485F"/>
    <w:rsid w:val="001973C3"/>
    <w:rsid w:val="001A6E3F"/>
    <w:rsid w:val="001C44A2"/>
    <w:rsid w:val="001D2293"/>
    <w:rsid w:val="001E1532"/>
    <w:rsid w:val="001E26AA"/>
    <w:rsid w:val="001F5645"/>
    <w:rsid w:val="001F78BA"/>
    <w:rsid w:val="00200E68"/>
    <w:rsid w:val="0020757C"/>
    <w:rsid w:val="002111D2"/>
    <w:rsid w:val="00216E7F"/>
    <w:rsid w:val="00226E43"/>
    <w:rsid w:val="002336D1"/>
    <w:rsid w:val="00237D5D"/>
    <w:rsid w:val="0024367C"/>
    <w:rsid w:val="00244B49"/>
    <w:rsid w:val="00245C09"/>
    <w:rsid w:val="00251FB9"/>
    <w:rsid w:val="00256EB0"/>
    <w:rsid w:val="00265270"/>
    <w:rsid w:val="00276278"/>
    <w:rsid w:val="00283ACD"/>
    <w:rsid w:val="0028685F"/>
    <w:rsid w:val="00286FC6"/>
    <w:rsid w:val="00287B64"/>
    <w:rsid w:val="002A34F5"/>
    <w:rsid w:val="002A4A6F"/>
    <w:rsid w:val="002A5FBD"/>
    <w:rsid w:val="002B26B6"/>
    <w:rsid w:val="002B40FB"/>
    <w:rsid w:val="002B5638"/>
    <w:rsid w:val="002C3C42"/>
    <w:rsid w:val="002C49E0"/>
    <w:rsid w:val="002D4015"/>
    <w:rsid w:val="002D4A3F"/>
    <w:rsid w:val="002F2842"/>
    <w:rsid w:val="002F6B6D"/>
    <w:rsid w:val="003023AE"/>
    <w:rsid w:val="00316F6C"/>
    <w:rsid w:val="0032527F"/>
    <w:rsid w:val="0033531A"/>
    <w:rsid w:val="00336372"/>
    <w:rsid w:val="00336FB4"/>
    <w:rsid w:val="0035354B"/>
    <w:rsid w:val="00355AAF"/>
    <w:rsid w:val="00360902"/>
    <w:rsid w:val="0036333D"/>
    <w:rsid w:val="00364589"/>
    <w:rsid w:val="00376CA9"/>
    <w:rsid w:val="003800C3"/>
    <w:rsid w:val="00382870"/>
    <w:rsid w:val="0038671E"/>
    <w:rsid w:val="003A4052"/>
    <w:rsid w:val="003B0D3C"/>
    <w:rsid w:val="003B1E73"/>
    <w:rsid w:val="003B55E6"/>
    <w:rsid w:val="003C23ED"/>
    <w:rsid w:val="003C27EE"/>
    <w:rsid w:val="003E4EC2"/>
    <w:rsid w:val="003E4F5C"/>
    <w:rsid w:val="003F2D2D"/>
    <w:rsid w:val="003F488A"/>
    <w:rsid w:val="004013B5"/>
    <w:rsid w:val="004032B4"/>
    <w:rsid w:val="00413C59"/>
    <w:rsid w:val="00423F83"/>
    <w:rsid w:val="00425D82"/>
    <w:rsid w:val="00427F02"/>
    <w:rsid w:val="00433626"/>
    <w:rsid w:val="00435478"/>
    <w:rsid w:val="00453F58"/>
    <w:rsid w:val="00457D89"/>
    <w:rsid w:val="00471C0F"/>
    <w:rsid w:val="00476FCC"/>
    <w:rsid w:val="0049152F"/>
    <w:rsid w:val="004A06D0"/>
    <w:rsid w:val="004A0A64"/>
    <w:rsid w:val="004B68AE"/>
    <w:rsid w:val="004B6C74"/>
    <w:rsid w:val="004D46DF"/>
    <w:rsid w:val="004E21E6"/>
    <w:rsid w:val="004E7182"/>
    <w:rsid w:val="004F1409"/>
    <w:rsid w:val="004F353A"/>
    <w:rsid w:val="005069B2"/>
    <w:rsid w:val="0051032E"/>
    <w:rsid w:val="00510C3D"/>
    <w:rsid w:val="00511C6C"/>
    <w:rsid w:val="00511F1B"/>
    <w:rsid w:val="00521C5D"/>
    <w:rsid w:val="00526ED6"/>
    <w:rsid w:val="00537D1F"/>
    <w:rsid w:val="00540939"/>
    <w:rsid w:val="005435B4"/>
    <w:rsid w:val="0054668E"/>
    <w:rsid w:val="00551F8E"/>
    <w:rsid w:val="005546FD"/>
    <w:rsid w:val="00564BC8"/>
    <w:rsid w:val="00582F31"/>
    <w:rsid w:val="00584AE0"/>
    <w:rsid w:val="00591456"/>
    <w:rsid w:val="005A344A"/>
    <w:rsid w:val="005A3A0D"/>
    <w:rsid w:val="005A46AB"/>
    <w:rsid w:val="005A74CB"/>
    <w:rsid w:val="005C710A"/>
    <w:rsid w:val="005E73B1"/>
    <w:rsid w:val="005F11CC"/>
    <w:rsid w:val="005F386B"/>
    <w:rsid w:val="0061646E"/>
    <w:rsid w:val="006211A2"/>
    <w:rsid w:val="00633171"/>
    <w:rsid w:val="006368D0"/>
    <w:rsid w:val="0064788A"/>
    <w:rsid w:val="00651FA7"/>
    <w:rsid w:val="00664EDD"/>
    <w:rsid w:val="006662F6"/>
    <w:rsid w:val="0067255D"/>
    <w:rsid w:val="00674589"/>
    <w:rsid w:val="00694E18"/>
    <w:rsid w:val="006A7FD1"/>
    <w:rsid w:val="006B1AA6"/>
    <w:rsid w:val="006B46B6"/>
    <w:rsid w:val="006B68CF"/>
    <w:rsid w:val="006C2AED"/>
    <w:rsid w:val="006C41C9"/>
    <w:rsid w:val="006C4210"/>
    <w:rsid w:val="006C6D35"/>
    <w:rsid w:val="006D26AD"/>
    <w:rsid w:val="006E7CA1"/>
    <w:rsid w:val="00702494"/>
    <w:rsid w:val="007034F4"/>
    <w:rsid w:val="0071266D"/>
    <w:rsid w:val="00713015"/>
    <w:rsid w:val="007153B6"/>
    <w:rsid w:val="0073048B"/>
    <w:rsid w:val="00733224"/>
    <w:rsid w:val="00743367"/>
    <w:rsid w:val="00762678"/>
    <w:rsid w:val="00762DFB"/>
    <w:rsid w:val="007648D8"/>
    <w:rsid w:val="00777249"/>
    <w:rsid w:val="0079068C"/>
    <w:rsid w:val="00795A92"/>
    <w:rsid w:val="007967D2"/>
    <w:rsid w:val="007A3497"/>
    <w:rsid w:val="007D202C"/>
    <w:rsid w:val="007E51C1"/>
    <w:rsid w:val="00804599"/>
    <w:rsid w:val="00810F70"/>
    <w:rsid w:val="008127C0"/>
    <w:rsid w:val="00824B27"/>
    <w:rsid w:val="00834C39"/>
    <w:rsid w:val="0084077C"/>
    <w:rsid w:val="00841008"/>
    <w:rsid w:val="00841DAD"/>
    <w:rsid w:val="008427AC"/>
    <w:rsid w:val="00844CBB"/>
    <w:rsid w:val="0085450C"/>
    <w:rsid w:val="0086208F"/>
    <w:rsid w:val="008629E0"/>
    <w:rsid w:val="00863010"/>
    <w:rsid w:val="00873153"/>
    <w:rsid w:val="008863D8"/>
    <w:rsid w:val="00895739"/>
    <w:rsid w:val="008B1242"/>
    <w:rsid w:val="008C6553"/>
    <w:rsid w:val="008D198A"/>
    <w:rsid w:val="008D3878"/>
    <w:rsid w:val="008D5FBF"/>
    <w:rsid w:val="008F0CA8"/>
    <w:rsid w:val="008F1925"/>
    <w:rsid w:val="008F34FE"/>
    <w:rsid w:val="008F6058"/>
    <w:rsid w:val="009005EC"/>
    <w:rsid w:val="0090300D"/>
    <w:rsid w:val="0091061E"/>
    <w:rsid w:val="00910812"/>
    <w:rsid w:val="00911C2A"/>
    <w:rsid w:val="00914494"/>
    <w:rsid w:val="009145D6"/>
    <w:rsid w:val="00914767"/>
    <w:rsid w:val="009161FD"/>
    <w:rsid w:val="00917CDC"/>
    <w:rsid w:val="009222D7"/>
    <w:rsid w:val="009304D0"/>
    <w:rsid w:val="00932A58"/>
    <w:rsid w:val="00946EFA"/>
    <w:rsid w:val="009539C9"/>
    <w:rsid w:val="00964B40"/>
    <w:rsid w:val="00977F55"/>
    <w:rsid w:val="00982276"/>
    <w:rsid w:val="00991851"/>
    <w:rsid w:val="00997901"/>
    <w:rsid w:val="009B7806"/>
    <w:rsid w:val="009C3130"/>
    <w:rsid w:val="009D031F"/>
    <w:rsid w:val="009D168F"/>
    <w:rsid w:val="009D376A"/>
    <w:rsid w:val="009D379A"/>
    <w:rsid w:val="009D5CA0"/>
    <w:rsid w:val="009E3624"/>
    <w:rsid w:val="009E6DE9"/>
    <w:rsid w:val="009F1301"/>
    <w:rsid w:val="009F24A8"/>
    <w:rsid w:val="009F51F1"/>
    <w:rsid w:val="00A03E2B"/>
    <w:rsid w:val="00A20973"/>
    <w:rsid w:val="00A26778"/>
    <w:rsid w:val="00A30E5C"/>
    <w:rsid w:val="00A3156F"/>
    <w:rsid w:val="00A33BE2"/>
    <w:rsid w:val="00A36383"/>
    <w:rsid w:val="00A45508"/>
    <w:rsid w:val="00A55DD7"/>
    <w:rsid w:val="00A672CB"/>
    <w:rsid w:val="00A7174E"/>
    <w:rsid w:val="00A827F1"/>
    <w:rsid w:val="00A83576"/>
    <w:rsid w:val="00A87670"/>
    <w:rsid w:val="00A918AC"/>
    <w:rsid w:val="00A94101"/>
    <w:rsid w:val="00AA5AE0"/>
    <w:rsid w:val="00AA6846"/>
    <w:rsid w:val="00AB140D"/>
    <w:rsid w:val="00AC7F08"/>
    <w:rsid w:val="00AD2F7C"/>
    <w:rsid w:val="00AE0343"/>
    <w:rsid w:val="00AE29C0"/>
    <w:rsid w:val="00AF4C31"/>
    <w:rsid w:val="00B3243F"/>
    <w:rsid w:val="00B334F9"/>
    <w:rsid w:val="00B41004"/>
    <w:rsid w:val="00B41E54"/>
    <w:rsid w:val="00B46AB7"/>
    <w:rsid w:val="00B54D84"/>
    <w:rsid w:val="00B60688"/>
    <w:rsid w:val="00BA28FB"/>
    <w:rsid w:val="00BA4D7D"/>
    <w:rsid w:val="00BA76E6"/>
    <w:rsid w:val="00BB7304"/>
    <w:rsid w:val="00BB7D7A"/>
    <w:rsid w:val="00C14472"/>
    <w:rsid w:val="00C17D0A"/>
    <w:rsid w:val="00C20612"/>
    <w:rsid w:val="00C4164A"/>
    <w:rsid w:val="00C43E39"/>
    <w:rsid w:val="00C45C03"/>
    <w:rsid w:val="00C47D6A"/>
    <w:rsid w:val="00C565B3"/>
    <w:rsid w:val="00C644CC"/>
    <w:rsid w:val="00C72593"/>
    <w:rsid w:val="00C8028C"/>
    <w:rsid w:val="00C92A9A"/>
    <w:rsid w:val="00CA019F"/>
    <w:rsid w:val="00CB0326"/>
    <w:rsid w:val="00CB55A5"/>
    <w:rsid w:val="00CC1A49"/>
    <w:rsid w:val="00CC5954"/>
    <w:rsid w:val="00CD2CCA"/>
    <w:rsid w:val="00CE1744"/>
    <w:rsid w:val="00CE6AF2"/>
    <w:rsid w:val="00D046A7"/>
    <w:rsid w:val="00D1506A"/>
    <w:rsid w:val="00D22C02"/>
    <w:rsid w:val="00D27FAE"/>
    <w:rsid w:val="00D42A79"/>
    <w:rsid w:val="00D47E98"/>
    <w:rsid w:val="00D5367F"/>
    <w:rsid w:val="00D62430"/>
    <w:rsid w:val="00D62F09"/>
    <w:rsid w:val="00D64634"/>
    <w:rsid w:val="00D7047C"/>
    <w:rsid w:val="00D737AA"/>
    <w:rsid w:val="00D74953"/>
    <w:rsid w:val="00D93B5D"/>
    <w:rsid w:val="00D97524"/>
    <w:rsid w:val="00DA127A"/>
    <w:rsid w:val="00DB0398"/>
    <w:rsid w:val="00DB262E"/>
    <w:rsid w:val="00DD6B06"/>
    <w:rsid w:val="00DE44A4"/>
    <w:rsid w:val="00E07B2A"/>
    <w:rsid w:val="00E16BC1"/>
    <w:rsid w:val="00E437E6"/>
    <w:rsid w:val="00E47C98"/>
    <w:rsid w:val="00E566CD"/>
    <w:rsid w:val="00E568B7"/>
    <w:rsid w:val="00E6178A"/>
    <w:rsid w:val="00E652E9"/>
    <w:rsid w:val="00E72AA1"/>
    <w:rsid w:val="00E80BA5"/>
    <w:rsid w:val="00E96541"/>
    <w:rsid w:val="00E97F7A"/>
    <w:rsid w:val="00EA6B71"/>
    <w:rsid w:val="00EB2D5E"/>
    <w:rsid w:val="00EB47FE"/>
    <w:rsid w:val="00EC3ECA"/>
    <w:rsid w:val="00ED1ED7"/>
    <w:rsid w:val="00ED3286"/>
    <w:rsid w:val="00ED5030"/>
    <w:rsid w:val="00ED5A28"/>
    <w:rsid w:val="00EE141F"/>
    <w:rsid w:val="00EE2FD8"/>
    <w:rsid w:val="00EE5408"/>
    <w:rsid w:val="00EF667D"/>
    <w:rsid w:val="00F00B87"/>
    <w:rsid w:val="00F047F3"/>
    <w:rsid w:val="00F052A9"/>
    <w:rsid w:val="00F06E87"/>
    <w:rsid w:val="00F33152"/>
    <w:rsid w:val="00F35DDA"/>
    <w:rsid w:val="00F37F6F"/>
    <w:rsid w:val="00F44D34"/>
    <w:rsid w:val="00F82847"/>
    <w:rsid w:val="00F859E1"/>
    <w:rsid w:val="00F95D7C"/>
    <w:rsid w:val="00FA0FA0"/>
    <w:rsid w:val="00FA2201"/>
    <w:rsid w:val="00FA4E8B"/>
    <w:rsid w:val="00FA6186"/>
    <w:rsid w:val="00FB06DB"/>
    <w:rsid w:val="00FC375B"/>
    <w:rsid w:val="00FC41CC"/>
    <w:rsid w:val="00FD2B6F"/>
    <w:rsid w:val="00FD4686"/>
    <w:rsid w:val="00FE0AF4"/>
    <w:rsid w:val="03726D34"/>
    <w:rsid w:val="0F6B0AEA"/>
    <w:rsid w:val="15107A3E"/>
    <w:rsid w:val="19836209"/>
    <w:rsid w:val="239A1546"/>
    <w:rsid w:val="2E6E5AA9"/>
    <w:rsid w:val="2E9A689E"/>
    <w:rsid w:val="32C07118"/>
    <w:rsid w:val="40112738"/>
    <w:rsid w:val="453C7ADF"/>
    <w:rsid w:val="454A4722"/>
    <w:rsid w:val="636C3272"/>
    <w:rsid w:val="67185FD7"/>
    <w:rsid w:val="731F06ED"/>
    <w:rsid w:val="75952CFA"/>
    <w:rsid w:val="7AF661D7"/>
    <w:rsid w:val="7F914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AB6D5DA"/>
  <w15:docId w15:val="{933E6115-1B6D-4392-8864-5923B7A8B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Date"/>
    <w:basedOn w:val="a"/>
    <w:next w:val="a"/>
    <w:link w:val="a6"/>
    <w:uiPriority w:val="99"/>
    <w:semiHidden/>
    <w:unhideWhenUsed/>
    <w:qFormat/>
    <w:pPr>
      <w:ind w:leftChars="2500" w:left="100"/>
    </w:p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character" w:customStyle="1" w:styleId="a6">
    <w:name w:val="日期 字符"/>
    <w:basedOn w:val="a0"/>
    <w:link w:val="a5"/>
    <w:uiPriority w:val="99"/>
    <w:semiHidden/>
    <w:qFormat/>
    <w:rPr>
      <w:rFonts w:asciiTheme="minorHAnsi" w:eastAsiaTheme="minorEastAsia" w:hAnsiTheme="minorHAnsi" w:cstheme="minorBidi"/>
      <w:kern w:val="2"/>
      <w:sz w:val="21"/>
      <w:szCs w:val="22"/>
    </w:rPr>
  </w:style>
  <w:style w:type="character" w:customStyle="1" w:styleId="a4">
    <w:name w:val="批注文字 字符"/>
    <w:basedOn w:val="a0"/>
    <w:link w:val="a3"/>
    <w:uiPriority w:val="99"/>
    <w:qFormat/>
    <w:rPr>
      <w:rFonts w:asciiTheme="minorHAnsi" w:eastAsiaTheme="minorEastAsia" w:hAnsiTheme="minorHAnsi" w:cstheme="minorBidi"/>
      <w:kern w:val="2"/>
      <w:sz w:val="21"/>
      <w:szCs w:val="22"/>
    </w:rPr>
  </w:style>
  <w:style w:type="character" w:customStyle="1" w:styleId="ac">
    <w:name w:val="批注主题 字符"/>
    <w:basedOn w:val="a4"/>
    <w:link w:val="ab"/>
    <w:uiPriority w:val="99"/>
    <w:semiHidden/>
    <w:qFormat/>
    <w:rPr>
      <w:rFonts w:asciiTheme="minorHAnsi" w:eastAsiaTheme="minorEastAsia" w:hAnsiTheme="minorHAnsi" w:cstheme="minorBidi"/>
      <w:b/>
      <w:bCs/>
      <w:kern w:val="2"/>
      <w:sz w:val="21"/>
      <w:szCs w:val="22"/>
    </w:rPr>
  </w:style>
  <w:style w:type="character" w:styleId="af">
    <w:name w:val="Placeholder Text"/>
    <w:basedOn w:val="a0"/>
    <w:uiPriority w:val="99"/>
    <w:semiHidden/>
    <w:qFormat/>
    <w:rPr>
      <w:color w:val="808080"/>
    </w:rPr>
  </w:style>
  <w:style w:type="character" w:customStyle="1" w:styleId="aa">
    <w:name w:val="页眉 字符"/>
    <w:basedOn w:val="a0"/>
    <w:link w:val="a9"/>
    <w:uiPriority w:val="99"/>
    <w:qFormat/>
    <w:rPr>
      <w:rFonts w:asciiTheme="minorHAnsi" w:eastAsiaTheme="minorEastAsia" w:hAnsiTheme="minorHAnsi" w:cstheme="minorBidi"/>
      <w:kern w:val="2"/>
      <w:sz w:val="18"/>
      <w:szCs w:val="18"/>
    </w:rPr>
  </w:style>
  <w:style w:type="character" w:customStyle="1" w:styleId="a8">
    <w:name w:val="页脚 字符"/>
    <w:basedOn w:val="a0"/>
    <w:link w:val="a7"/>
    <w:uiPriority w:val="99"/>
    <w:qFormat/>
    <w:rPr>
      <w:rFonts w:asciiTheme="minorHAnsi" w:eastAsiaTheme="minorEastAsia" w:hAnsiTheme="minorHAnsi" w:cstheme="minorBidi"/>
      <w:kern w:val="2"/>
      <w:sz w:val="18"/>
      <w:szCs w:val="18"/>
    </w:rPr>
  </w:style>
  <w:style w:type="table" w:customStyle="1" w:styleId="1">
    <w:name w:val="网格型1"/>
    <w:basedOn w:val="a1"/>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semiHidden/>
    <w:rsid w:val="007034F4"/>
    <w:rPr>
      <w:rFonts w:asciiTheme="minorHAnsi" w:eastAsiaTheme="minorEastAsia" w:hAnsiTheme="minorHAnsi" w:cstheme="minorBidi"/>
      <w:kern w:val="2"/>
      <w:sz w:val="21"/>
      <w:szCs w:val="22"/>
    </w:rPr>
  </w:style>
  <w:style w:type="paragraph" w:styleId="TOC1">
    <w:name w:val="toc 1"/>
    <w:basedOn w:val="a"/>
    <w:next w:val="a"/>
    <w:uiPriority w:val="39"/>
    <w:qFormat/>
    <w:rsid w:val="002336D1"/>
    <w:pPr>
      <w:tabs>
        <w:tab w:val="right" w:leader="dot" w:pos="9242"/>
      </w:tabs>
      <w:spacing w:beforeLines="25" w:afterLines="25"/>
      <w:jc w:val="left"/>
    </w:pPr>
    <w:rPr>
      <w:rFonts w:ascii="宋体" w:eastAsia="宋体" w:hAnsi="Times New Roman" w:cs="Times New Roman"/>
      <w:szCs w:val="21"/>
    </w:rPr>
  </w:style>
  <w:style w:type="paragraph" w:customStyle="1" w:styleId="af1">
    <w:name w:val="目次、标准名称标题"/>
    <w:basedOn w:val="a"/>
    <w:next w:val="a"/>
    <w:qFormat/>
    <w:rsid w:val="002336D1"/>
    <w:pPr>
      <w:keepNext/>
      <w:pageBreakBefore/>
      <w:widowControl/>
      <w:shd w:val="clear" w:color="FFFFFF" w:fill="FFFFFF"/>
      <w:spacing w:before="640" w:after="560" w:line="460" w:lineRule="exact"/>
      <w:jc w:val="center"/>
      <w:outlineLvl w:val="0"/>
    </w:pPr>
    <w:rPr>
      <w:rFonts w:ascii="黑体" w:eastAsia="黑体" w:hAnsi="Times New Roman" w:cs="Times New Roman"/>
      <w:kern w:val="0"/>
      <w:sz w:val="32"/>
      <w:szCs w:val="20"/>
    </w:rPr>
  </w:style>
  <w:style w:type="character" w:styleId="af2">
    <w:name w:val="Hyperlink"/>
    <w:basedOn w:val="a0"/>
    <w:uiPriority w:val="99"/>
    <w:unhideWhenUsed/>
    <w:rsid w:val="002336D1"/>
    <w:rPr>
      <w:color w:val="0563C1" w:themeColor="hyperlink"/>
      <w:u w:val="single"/>
    </w:rPr>
  </w:style>
  <w:style w:type="paragraph" w:styleId="TOC2">
    <w:name w:val="toc 2"/>
    <w:basedOn w:val="a"/>
    <w:next w:val="a"/>
    <w:autoRedefine/>
    <w:uiPriority w:val="39"/>
    <w:unhideWhenUsed/>
    <w:rsid w:val="002A34F5"/>
    <w:pPr>
      <w:tabs>
        <w:tab w:val="right" w:leader="dot" w:pos="9344"/>
      </w:tabs>
      <w:ind w:leftChars="100" w:left="210"/>
    </w:pPr>
  </w:style>
  <w:style w:type="character" w:styleId="af3">
    <w:name w:val="Unresolved Mention"/>
    <w:basedOn w:val="a0"/>
    <w:uiPriority w:val="99"/>
    <w:semiHidden/>
    <w:unhideWhenUsed/>
    <w:rsid w:val="005546FD"/>
    <w:rPr>
      <w:color w:val="605E5C"/>
      <w:shd w:val="clear" w:color="auto" w:fill="E1DFDD"/>
    </w:rPr>
  </w:style>
  <w:style w:type="paragraph" w:styleId="TOC3">
    <w:name w:val="toc 3"/>
    <w:basedOn w:val="a"/>
    <w:next w:val="a"/>
    <w:uiPriority w:val="39"/>
    <w:rsid w:val="00B41E54"/>
    <w:pPr>
      <w:tabs>
        <w:tab w:val="right" w:leader="dot" w:pos="9242"/>
      </w:tabs>
      <w:ind w:firstLineChars="100" w:firstLine="1252"/>
      <w:jc w:val="left"/>
    </w:pPr>
    <w:rPr>
      <w:rFonts w:ascii="宋体" w:eastAsia="宋体" w:hAnsi="Times New Roman"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83054D9-05A3-4825-A669-22B160EC222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22</Pages>
  <Words>3318</Words>
  <Characters>18916</Characters>
  <Application>Microsoft Office Word</Application>
  <DocSecurity>0</DocSecurity>
  <Lines>157</Lines>
  <Paragraphs>44</Paragraphs>
  <ScaleCrop>false</ScaleCrop>
  <Company/>
  <LinksUpToDate>false</LinksUpToDate>
  <CharactersWithSpaces>22190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 wenshun</dc:creator>
  <cp:lastModifiedBy>Ke wenshun</cp:lastModifiedBy>
  <cp:revision>27</cp:revision>
  <dcterms:created xsi:type="dcterms:W3CDTF">2023-08-04T03:18:00Z</dcterms:created>
  <dcterms:modified xsi:type="dcterms:W3CDTF">2023-08-14T04:02:00Z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E45A491A71934B3EA5F43F2C2E591E33</vt:lpwstr>
  </property>
</Properties>
</file>