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B5BB9" w14:textId="77777777" w:rsidR="00F659ED" w:rsidRDefault="00F659ED">
      <w:pPr>
        <w:jc w:val="left"/>
        <w:rPr>
          <w:rFonts w:ascii="Times New Roman" w:eastAsia="黑体" w:hAnsi="Times New Roman" w:cs="Times New Roman"/>
          <w:sz w:val="36"/>
          <w:szCs w:val="36"/>
        </w:rPr>
      </w:pPr>
    </w:p>
    <w:p w14:paraId="58AA9DD9" w14:textId="77777777" w:rsidR="00F659ED" w:rsidRDefault="00F659ED">
      <w:pPr>
        <w:jc w:val="center"/>
        <w:rPr>
          <w:rFonts w:ascii="Times New Roman" w:hAnsi="Times New Roman" w:cs="Times New Roman"/>
          <w:sz w:val="36"/>
          <w:szCs w:val="36"/>
        </w:rPr>
      </w:pPr>
    </w:p>
    <w:p w14:paraId="24767F47" w14:textId="77777777" w:rsidR="00F659ED" w:rsidRDefault="00F659ED">
      <w:pPr>
        <w:jc w:val="center"/>
        <w:rPr>
          <w:rFonts w:ascii="Times New Roman" w:hAnsi="Times New Roman" w:cs="Times New Roman"/>
          <w:sz w:val="36"/>
          <w:szCs w:val="36"/>
        </w:rPr>
      </w:pPr>
    </w:p>
    <w:p w14:paraId="70FD7A6A" w14:textId="77777777" w:rsidR="00F659ED" w:rsidRDefault="00F659ED">
      <w:pPr>
        <w:jc w:val="center"/>
        <w:rPr>
          <w:rFonts w:ascii="Times New Roman" w:hAnsi="Times New Roman" w:cs="Times New Roman"/>
          <w:sz w:val="36"/>
          <w:szCs w:val="36"/>
        </w:rPr>
      </w:pPr>
    </w:p>
    <w:p w14:paraId="474E3A7B" w14:textId="77777777" w:rsidR="00F659ED" w:rsidRDefault="00A73164">
      <w:pPr>
        <w:jc w:val="center"/>
        <w:rPr>
          <w:rFonts w:ascii="Times New Roman" w:eastAsia="黑体" w:hAnsi="Times New Roman" w:cs="Times New Roman"/>
          <w:sz w:val="44"/>
          <w:szCs w:val="44"/>
        </w:rPr>
      </w:pPr>
      <w:r>
        <w:rPr>
          <w:rFonts w:ascii="Times New Roman" w:eastAsia="黑体" w:hAnsi="Times New Roman" w:cs="Times New Roman"/>
          <w:sz w:val="44"/>
          <w:szCs w:val="44"/>
        </w:rPr>
        <w:t>《</w:t>
      </w:r>
      <w:r>
        <w:rPr>
          <w:rFonts w:ascii="Times New Roman" w:eastAsia="黑体" w:hAnsi="Times New Roman" w:cs="Times New Roman" w:hint="eastAsia"/>
          <w:sz w:val="44"/>
          <w:szCs w:val="44"/>
        </w:rPr>
        <w:t>有色金属冶炼场地生态重构技术规范</w:t>
      </w:r>
      <w:r>
        <w:rPr>
          <w:rFonts w:ascii="Times New Roman" w:eastAsia="黑体" w:hAnsi="Times New Roman" w:cs="Times New Roman"/>
          <w:sz w:val="44"/>
          <w:szCs w:val="44"/>
        </w:rPr>
        <w:t>》</w:t>
      </w:r>
    </w:p>
    <w:p w14:paraId="1F2651D5" w14:textId="77777777" w:rsidR="00F659ED" w:rsidRDefault="00A73164">
      <w:pPr>
        <w:jc w:val="center"/>
        <w:rPr>
          <w:rFonts w:ascii="Times New Roman" w:eastAsia="黑体" w:hAnsi="Times New Roman" w:cs="Times New Roman"/>
          <w:sz w:val="44"/>
          <w:szCs w:val="44"/>
        </w:rPr>
      </w:pPr>
      <w:r>
        <w:rPr>
          <w:rFonts w:ascii="Times New Roman" w:eastAsia="黑体" w:hAnsi="Times New Roman" w:cs="Times New Roman"/>
          <w:sz w:val="44"/>
          <w:szCs w:val="44"/>
        </w:rPr>
        <w:t>（</w:t>
      </w:r>
      <w:r>
        <w:rPr>
          <w:rFonts w:ascii="Times New Roman" w:eastAsia="黑体" w:hAnsi="Times New Roman" w:cs="Times New Roman" w:hint="eastAsia"/>
          <w:sz w:val="44"/>
          <w:szCs w:val="44"/>
        </w:rPr>
        <w:t>征求意见</w:t>
      </w:r>
      <w:r>
        <w:rPr>
          <w:rFonts w:ascii="Times New Roman" w:eastAsia="黑体" w:hAnsi="Times New Roman" w:cs="Times New Roman"/>
          <w:sz w:val="44"/>
          <w:szCs w:val="44"/>
        </w:rPr>
        <w:t>稿）</w:t>
      </w:r>
    </w:p>
    <w:p w14:paraId="1C1E275B" w14:textId="77777777" w:rsidR="00F659ED" w:rsidRDefault="00A73164">
      <w:pPr>
        <w:jc w:val="center"/>
        <w:rPr>
          <w:rFonts w:ascii="Times New Roman" w:eastAsia="黑体" w:hAnsi="Times New Roman" w:cs="Times New Roman"/>
          <w:sz w:val="36"/>
          <w:szCs w:val="36"/>
        </w:rPr>
      </w:pPr>
      <w:r>
        <w:rPr>
          <w:rFonts w:ascii="Times New Roman" w:eastAsia="黑体" w:hAnsi="Times New Roman" w:cs="Times New Roman"/>
          <w:sz w:val="44"/>
          <w:szCs w:val="44"/>
        </w:rPr>
        <w:t>编制说明</w:t>
      </w:r>
    </w:p>
    <w:p w14:paraId="4BD892C4" w14:textId="77777777" w:rsidR="00F659ED" w:rsidRDefault="00F659ED">
      <w:pPr>
        <w:jc w:val="center"/>
        <w:rPr>
          <w:rFonts w:ascii="Times New Roman" w:hAnsi="Times New Roman" w:cs="Times New Roman"/>
          <w:sz w:val="36"/>
          <w:szCs w:val="36"/>
        </w:rPr>
      </w:pPr>
    </w:p>
    <w:p w14:paraId="4E8358B2" w14:textId="77777777" w:rsidR="00F659ED" w:rsidRDefault="00F659ED">
      <w:pPr>
        <w:jc w:val="center"/>
        <w:rPr>
          <w:rFonts w:ascii="Times New Roman" w:hAnsi="Times New Roman" w:cs="Times New Roman"/>
          <w:sz w:val="36"/>
          <w:szCs w:val="36"/>
        </w:rPr>
      </w:pPr>
    </w:p>
    <w:p w14:paraId="1FEE894C" w14:textId="77777777" w:rsidR="00F659ED" w:rsidRDefault="00F659ED">
      <w:pPr>
        <w:jc w:val="center"/>
        <w:rPr>
          <w:rFonts w:ascii="Times New Roman" w:hAnsi="Times New Roman" w:cs="Times New Roman"/>
          <w:sz w:val="36"/>
          <w:szCs w:val="36"/>
        </w:rPr>
      </w:pPr>
    </w:p>
    <w:p w14:paraId="1D15D9EA" w14:textId="77777777" w:rsidR="00F659ED" w:rsidRDefault="00F659ED">
      <w:pPr>
        <w:jc w:val="center"/>
        <w:rPr>
          <w:rFonts w:ascii="Times New Roman" w:hAnsi="Times New Roman" w:cs="Times New Roman"/>
          <w:sz w:val="36"/>
          <w:szCs w:val="36"/>
        </w:rPr>
      </w:pPr>
    </w:p>
    <w:p w14:paraId="6A55AD6A" w14:textId="77777777" w:rsidR="00F659ED" w:rsidRDefault="00F659ED">
      <w:pPr>
        <w:jc w:val="center"/>
        <w:rPr>
          <w:rFonts w:ascii="Times New Roman" w:hAnsi="Times New Roman" w:cs="Times New Roman"/>
          <w:sz w:val="36"/>
          <w:szCs w:val="36"/>
        </w:rPr>
      </w:pPr>
    </w:p>
    <w:p w14:paraId="73EA9951" w14:textId="77777777" w:rsidR="00F659ED" w:rsidRDefault="00F659ED">
      <w:pPr>
        <w:jc w:val="center"/>
        <w:rPr>
          <w:rFonts w:ascii="Times New Roman" w:hAnsi="Times New Roman" w:cs="Times New Roman"/>
          <w:sz w:val="36"/>
          <w:szCs w:val="36"/>
        </w:rPr>
      </w:pPr>
    </w:p>
    <w:p w14:paraId="0A08A227" w14:textId="77777777" w:rsidR="00F659ED" w:rsidRDefault="00F659ED">
      <w:pPr>
        <w:jc w:val="center"/>
        <w:rPr>
          <w:rFonts w:ascii="Times New Roman" w:hAnsi="Times New Roman" w:cs="Times New Roman"/>
          <w:sz w:val="36"/>
          <w:szCs w:val="36"/>
        </w:rPr>
      </w:pPr>
    </w:p>
    <w:p w14:paraId="08417109" w14:textId="77777777" w:rsidR="00F659ED" w:rsidRDefault="00F659ED">
      <w:pPr>
        <w:jc w:val="center"/>
        <w:rPr>
          <w:rFonts w:ascii="Times New Roman" w:hAnsi="Times New Roman" w:cs="Times New Roman"/>
          <w:sz w:val="36"/>
          <w:szCs w:val="36"/>
        </w:rPr>
      </w:pPr>
    </w:p>
    <w:p w14:paraId="519A28F4" w14:textId="77777777" w:rsidR="00F659ED" w:rsidRDefault="00F659ED">
      <w:pPr>
        <w:jc w:val="center"/>
        <w:rPr>
          <w:rFonts w:ascii="Times New Roman" w:hAnsi="Times New Roman" w:cs="Times New Roman"/>
          <w:sz w:val="36"/>
          <w:szCs w:val="36"/>
        </w:rPr>
      </w:pPr>
    </w:p>
    <w:p w14:paraId="22220BCF" w14:textId="77777777" w:rsidR="00F659ED" w:rsidRDefault="00F659ED">
      <w:pPr>
        <w:jc w:val="center"/>
        <w:rPr>
          <w:rFonts w:ascii="Times New Roman" w:hAnsi="Times New Roman" w:cs="Times New Roman"/>
          <w:sz w:val="36"/>
          <w:szCs w:val="36"/>
        </w:rPr>
      </w:pPr>
    </w:p>
    <w:p w14:paraId="0F2BBEA6" w14:textId="77777777" w:rsidR="00F659ED" w:rsidRDefault="00F659ED">
      <w:pPr>
        <w:jc w:val="center"/>
        <w:rPr>
          <w:rFonts w:ascii="Times New Roman" w:hAnsi="Times New Roman" w:cs="Times New Roman"/>
          <w:sz w:val="36"/>
          <w:szCs w:val="36"/>
        </w:rPr>
      </w:pPr>
    </w:p>
    <w:p w14:paraId="1C3D8D7F" w14:textId="77777777" w:rsidR="00F659ED" w:rsidRDefault="00F659ED">
      <w:pPr>
        <w:jc w:val="center"/>
        <w:rPr>
          <w:rFonts w:ascii="Times New Roman" w:hAnsi="Times New Roman" w:cs="Times New Roman"/>
          <w:sz w:val="36"/>
          <w:szCs w:val="36"/>
        </w:rPr>
      </w:pPr>
    </w:p>
    <w:p w14:paraId="0069F48B" w14:textId="77777777" w:rsidR="00F659ED" w:rsidRDefault="00A73164">
      <w:pPr>
        <w:jc w:val="center"/>
        <w:rPr>
          <w:rFonts w:ascii="Times New Roman" w:eastAsia="宋体" w:hAnsi="Times New Roman" w:cs="Times New Roman"/>
          <w:b/>
          <w:sz w:val="32"/>
          <w:szCs w:val="32"/>
        </w:rPr>
      </w:pPr>
      <w:r>
        <w:rPr>
          <w:rFonts w:ascii="Times New Roman" w:eastAsia="宋体" w:hAnsi="Times New Roman" w:cs="Times New Roman" w:hint="eastAsia"/>
          <w:b/>
          <w:sz w:val="32"/>
          <w:szCs w:val="32"/>
        </w:rPr>
        <w:t>中南大学</w:t>
      </w:r>
    </w:p>
    <w:p w14:paraId="7BD71CD5" w14:textId="77777777" w:rsidR="00F659ED" w:rsidRDefault="00A73164">
      <w:pPr>
        <w:jc w:val="center"/>
        <w:rPr>
          <w:rFonts w:ascii="Times New Roman" w:eastAsia="宋体" w:hAnsi="Times New Roman" w:cs="Times New Roman"/>
          <w:sz w:val="32"/>
          <w:szCs w:val="32"/>
        </w:rPr>
      </w:pPr>
      <w:r>
        <w:rPr>
          <w:rFonts w:ascii="Times New Roman" w:eastAsia="宋体" w:hAnsi="Times New Roman" w:cs="Times New Roman" w:hint="eastAsia"/>
          <w:sz w:val="32"/>
          <w:szCs w:val="32"/>
        </w:rPr>
        <w:t>二〇二三年五月十八日</w:t>
      </w:r>
    </w:p>
    <w:p w14:paraId="067A1B42" w14:textId="77777777" w:rsidR="00F659ED" w:rsidRDefault="00F659ED">
      <w:pPr>
        <w:jc w:val="center"/>
        <w:rPr>
          <w:rFonts w:ascii="Times New Roman" w:hAnsi="Times New Roman" w:cs="Times New Roman"/>
          <w:b/>
          <w:sz w:val="36"/>
          <w:szCs w:val="36"/>
        </w:rPr>
        <w:sectPr w:rsidR="00F659ED">
          <w:footerReference w:type="even" r:id="rId9"/>
          <w:footerReference w:type="default" r:id="rId10"/>
          <w:pgSz w:w="11906" w:h="16838"/>
          <w:pgMar w:top="1440" w:right="1797" w:bottom="1440" w:left="1797" w:header="851" w:footer="992" w:gutter="0"/>
          <w:pgNumType w:start="0"/>
          <w:cols w:space="425"/>
          <w:titlePg/>
          <w:docGrid w:type="lines" w:linePitch="312"/>
        </w:sectPr>
      </w:pPr>
    </w:p>
    <w:p w14:paraId="157468DA" w14:textId="77777777" w:rsidR="00F659ED" w:rsidRDefault="00A73164">
      <w:pPr>
        <w:adjustRightInd w:val="0"/>
        <w:snapToGrid w:val="0"/>
        <w:spacing w:afterLines="100" w:after="312" w:line="480" w:lineRule="auto"/>
        <w:ind w:firstLineChars="200" w:firstLine="720"/>
        <w:jc w:val="center"/>
        <w:rPr>
          <w:rFonts w:ascii="Times New Roman" w:eastAsia="黑体" w:hAnsi="Times New Roman" w:cs="Times New Roman"/>
          <w:sz w:val="32"/>
          <w:szCs w:val="30"/>
        </w:rPr>
      </w:pPr>
      <w:r>
        <w:rPr>
          <w:rFonts w:ascii="Times New Roman" w:eastAsia="黑体" w:hAnsi="Times New Roman" w:cs="Times New Roman"/>
          <w:sz w:val="36"/>
          <w:szCs w:val="32"/>
        </w:rPr>
        <w:lastRenderedPageBreak/>
        <w:t>目</w:t>
      </w:r>
      <w:r>
        <w:rPr>
          <w:rFonts w:ascii="Times New Roman" w:eastAsia="黑体" w:hAnsi="Times New Roman" w:cs="Times New Roman"/>
          <w:sz w:val="36"/>
          <w:szCs w:val="32"/>
        </w:rPr>
        <w:t xml:space="preserve">  </w:t>
      </w:r>
      <w:r>
        <w:rPr>
          <w:rFonts w:ascii="Times New Roman" w:eastAsia="黑体" w:hAnsi="Times New Roman" w:cs="Times New Roman"/>
          <w:sz w:val="36"/>
          <w:szCs w:val="32"/>
        </w:rPr>
        <w:t>次</w:t>
      </w:r>
    </w:p>
    <w:p w14:paraId="2DE73DAD" w14:textId="77777777" w:rsidR="00F659ED" w:rsidRDefault="00A73164">
      <w:pPr>
        <w:pStyle w:val="TOC1"/>
        <w:tabs>
          <w:tab w:val="clear" w:pos="567"/>
          <w:tab w:val="clear" w:pos="8296"/>
          <w:tab w:val="right" w:leader="dot" w:pos="8312"/>
        </w:tabs>
      </w:pPr>
      <w:r>
        <w:rPr>
          <w:rFonts w:ascii="Times New Roman" w:eastAsia="仿宋"/>
          <w:sz w:val="40"/>
          <w:szCs w:val="44"/>
        </w:rPr>
        <w:fldChar w:fldCharType="begin"/>
      </w:r>
      <w:r>
        <w:rPr>
          <w:rFonts w:ascii="Times New Roman" w:eastAsia="仿宋"/>
          <w:sz w:val="40"/>
          <w:szCs w:val="44"/>
        </w:rPr>
        <w:instrText xml:space="preserve"> TOC \o "1-3" \h \z \u </w:instrText>
      </w:r>
      <w:r>
        <w:rPr>
          <w:rFonts w:ascii="Times New Roman" w:eastAsia="仿宋"/>
          <w:sz w:val="40"/>
          <w:szCs w:val="44"/>
        </w:rPr>
        <w:fldChar w:fldCharType="separate"/>
      </w:r>
      <w:hyperlink w:anchor="_Toc12659" w:history="1">
        <w:r>
          <w:rPr>
            <w:rFonts w:ascii="Times New Roman" w:eastAsia="黑体"/>
            <w:szCs w:val="32"/>
          </w:rPr>
          <w:t>第一章</w:t>
        </w:r>
        <w:r>
          <w:rPr>
            <w:rFonts w:ascii="Times New Roman" w:eastAsia="黑体"/>
            <w:szCs w:val="32"/>
          </w:rPr>
          <w:t xml:space="preserve"> </w:t>
        </w:r>
        <w:r>
          <w:rPr>
            <w:rFonts w:ascii="Times New Roman" w:eastAsia="黑体"/>
            <w:szCs w:val="32"/>
          </w:rPr>
          <w:t>工作简况</w:t>
        </w:r>
        <w:r>
          <w:tab/>
        </w:r>
        <w:r>
          <w:fldChar w:fldCharType="begin"/>
        </w:r>
        <w:r>
          <w:instrText xml:space="preserve"> PAGEREF _Toc12659 \h </w:instrText>
        </w:r>
        <w:r>
          <w:fldChar w:fldCharType="separate"/>
        </w:r>
        <w:r>
          <w:t>1</w:t>
        </w:r>
        <w:r>
          <w:fldChar w:fldCharType="end"/>
        </w:r>
      </w:hyperlink>
    </w:p>
    <w:p w14:paraId="1B35DE75" w14:textId="77777777" w:rsidR="00F659ED" w:rsidRDefault="00E74F06">
      <w:pPr>
        <w:pStyle w:val="TOC1"/>
        <w:tabs>
          <w:tab w:val="clear" w:pos="567"/>
          <w:tab w:val="clear" w:pos="8296"/>
          <w:tab w:val="right" w:leader="dot" w:pos="8312"/>
        </w:tabs>
      </w:pPr>
      <w:hyperlink w:anchor="_Toc1273" w:history="1">
        <w:r w:rsidR="00A73164">
          <w:rPr>
            <w:rFonts w:ascii="Times New Roman" w:eastAsia="黑体"/>
            <w:bCs/>
            <w:szCs w:val="32"/>
          </w:rPr>
          <w:t>第二章</w:t>
        </w:r>
        <w:r w:rsidR="00A73164">
          <w:rPr>
            <w:rFonts w:ascii="Times New Roman" w:eastAsia="黑体"/>
            <w:bCs/>
            <w:szCs w:val="32"/>
          </w:rPr>
          <w:t xml:space="preserve"> </w:t>
        </w:r>
        <w:r w:rsidR="00A73164">
          <w:rPr>
            <w:rFonts w:ascii="Times New Roman" w:eastAsia="黑体"/>
            <w:szCs w:val="32"/>
          </w:rPr>
          <w:t>标准编制原则和确定主要内容的论据</w:t>
        </w:r>
        <w:r w:rsidR="00A73164">
          <w:tab/>
        </w:r>
        <w:r w:rsidR="00A73164">
          <w:fldChar w:fldCharType="begin"/>
        </w:r>
        <w:r w:rsidR="00A73164">
          <w:instrText xml:space="preserve"> PAGEREF _Toc1273 \h </w:instrText>
        </w:r>
        <w:r w:rsidR="00A73164">
          <w:fldChar w:fldCharType="separate"/>
        </w:r>
        <w:r w:rsidR="00A73164">
          <w:t>5</w:t>
        </w:r>
        <w:r w:rsidR="00A73164">
          <w:fldChar w:fldCharType="end"/>
        </w:r>
      </w:hyperlink>
    </w:p>
    <w:p w14:paraId="7CA3E25A" w14:textId="77777777" w:rsidR="00F659ED" w:rsidRDefault="00E74F06">
      <w:pPr>
        <w:pStyle w:val="TOC1"/>
        <w:tabs>
          <w:tab w:val="clear" w:pos="567"/>
          <w:tab w:val="clear" w:pos="8296"/>
          <w:tab w:val="right" w:leader="dot" w:pos="8312"/>
        </w:tabs>
      </w:pPr>
      <w:hyperlink w:anchor="_Toc17733" w:history="1">
        <w:r w:rsidR="00A73164">
          <w:rPr>
            <w:rFonts w:ascii="Times New Roman" w:eastAsia="黑体" w:hint="eastAsia"/>
          </w:rPr>
          <w:t>第三章</w:t>
        </w:r>
        <w:r w:rsidR="00A73164">
          <w:rPr>
            <w:rFonts w:ascii="Times New Roman" w:eastAsia="黑体" w:hint="eastAsia"/>
          </w:rPr>
          <w:t xml:space="preserve"> </w:t>
        </w:r>
        <w:r w:rsidR="00A73164">
          <w:rPr>
            <w:rFonts w:ascii="Times New Roman" w:eastAsia="黑体" w:hint="eastAsia"/>
          </w:rPr>
          <w:t>综述报告及预期效果</w:t>
        </w:r>
        <w:r w:rsidR="00A73164">
          <w:tab/>
        </w:r>
        <w:r w:rsidR="00A73164">
          <w:fldChar w:fldCharType="begin"/>
        </w:r>
        <w:r w:rsidR="00A73164">
          <w:instrText xml:space="preserve"> PAGEREF _Toc17733 \h </w:instrText>
        </w:r>
        <w:r w:rsidR="00A73164">
          <w:fldChar w:fldCharType="separate"/>
        </w:r>
        <w:r w:rsidR="00A73164">
          <w:t>8</w:t>
        </w:r>
        <w:r w:rsidR="00A73164">
          <w:fldChar w:fldCharType="end"/>
        </w:r>
      </w:hyperlink>
    </w:p>
    <w:p w14:paraId="362F8B36" w14:textId="77777777" w:rsidR="00F659ED" w:rsidRDefault="00E74F06">
      <w:pPr>
        <w:pStyle w:val="TOC1"/>
        <w:tabs>
          <w:tab w:val="clear" w:pos="567"/>
          <w:tab w:val="clear" w:pos="8296"/>
          <w:tab w:val="right" w:leader="dot" w:pos="8312"/>
        </w:tabs>
      </w:pPr>
      <w:hyperlink w:anchor="_Toc14712" w:history="1">
        <w:r w:rsidR="00A73164">
          <w:rPr>
            <w:rFonts w:ascii="Times New Roman" w:eastAsia="黑体"/>
          </w:rPr>
          <w:t>第</w:t>
        </w:r>
        <w:r w:rsidR="00A73164">
          <w:rPr>
            <w:rFonts w:ascii="Times New Roman" w:eastAsia="黑体" w:hint="eastAsia"/>
          </w:rPr>
          <w:t>四</w:t>
        </w:r>
        <w:r w:rsidR="00A73164">
          <w:rPr>
            <w:rFonts w:ascii="Times New Roman" w:eastAsia="黑体"/>
          </w:rPr>
          <w:t>章</w:t>
        </w:r>
        <w:r w:rsidR="00A73164">
          <w:rPr>
            <w:rFonts w:ascii="Times New Roman" w:eastAsia="黑体"/>
          </w:rPr>
          <w:t xml:space="preserve"> </w:t>
        </w:r>
        <w:r w:rsidR="00A73164">
          <w:rPr>
            <w:rFonts w:ascii="Times New Roman" w:eastAsia="黑体"/>
          </w:rPr>
          <w:t>采用国际标准和国外先进标准的程度及与国外同类标准水平的对比</w:t>
        </w:r>
        <w:r w:rsidR="00A73164">
          <w:tab/>
        </w:r>
        <w:r w:rsidR="00A73164">
          <w:fldChar w:fldCharType="begin"/>
        </w:r>
        <w:r w:rsidR="00A73164">
          <w:instrText xml:space="preserve"> PAGEREF _Toc14712 \h </w:instrText>
        </w:r>
        <w:r w:rsidR="00A73164">
          <w:fldChar w:fldCharType="separate"/>
        </w:r>
        <w:r w:rsidR="00A73164">
          <w:t>11</w:t>
        </w:r>
        <w:r w:rsidR="00A73164">
          <w:fldChar w:fldCharType="end"/>
        </w:r>
      </w:hyperlink>
    </w:p>
    <w:p w14:paraId="58FC5B7A" w14:textId="77777777" w:rsidR="00F659ED" w:rsidRDefault="00E74F06">
      <w:pPr>
        <w:pStyle w:val="TOC1"/>
        <w:tabs>
          <w:tab w:val="clear" w:pos="567"/>
          <w:tab w:val="clear" w:pos="8296"/>
          <w:tab w:val="right" w:leader="dot" w:pos="8312"/>
        </w:tabs>
      </w:pPr>
      <w:hyperlink w:anchor="_Toc19594" w:history="1">
        <w:r w:rsidR="00A73164">
          <w:rPr>
            <w:rFonts w:ascii="Times New Roman" w:eastAsia="黑体"/>
          </w:rPr>
          <w:t>第</w:t>
        </w:r>
        <w:r w:rsidR="00A73164">
          <w:rPr>
            <w:rFonts w:ascii="Times New Roman" w:eastAsia="黑体" w:hint="eastAsia"/>
          </w:rPr>
          <w:t>五</w:t>
        </w:r>
        <w:r w:rsidR="00A73164">
          <w:rPr>
            <w:rFonts w:ascii="Times New Roman" w:eastAsia="黑体"/>
          </w:rPr>
          <w:t>章</w:t>
        </w:r>
        <w:r w:rsidR="00A73164">
          <w:rPr>
            <w:rFonts w:ascii="Times New Roman" w:eastAsia="黑体"/>
          </w:rPr>
          <w:t xml:space="preserve"> </w:t>
        </w:r>
        <w:r w:rsidR="00A73164">
          <w:rPr>
            <w:rFonts w:ascii="Times New Roman" w:eastAsia="黑体"/>
          </w:rPr>
          <w:t>与有关的现行法律、法规和强制性标准的关系</w:t>
        </w:r>
        <w:r w:rsidR="00A73164">
          <w:tab/>
        </w:r>
        <w:r w:rsidR="00A73164">
          <w:fldChar w:fldCharType="begin"/>
        </w:r>
        <w:r w:rsidR="00A73164">
          <w:instrText xml:space="preserve"> PAGEREF _Toc19594 \h </w:instrText>
        </w:r>
        <w:r w:rsidR="00A73164">
          <w:fldChar w:fldCharType="separate"/>
        </w:r>
        <w:r w:rsidR="00A73164">
          <w:t>11</w:t>
        </w:r>
        <w:r w:rsidR="00A73164">
          <w:fldChar w:fldCharType="end"/>
        </w:r>
      </w:hyperlink>
    </w:p>
    <w:p w14:paraId="644E2E63" w14:textId="77777777" w:rsidR="00F659ED" w:rsidRDefault="00E74F06">
      <w:pPr>
        <w:pStyle w:val="TOC1"/>
        <w:tabs>
          <w:tab w:val="clear" w:pos="567"/>
          <w:tab w:val="clear" w:pos="8296"/>
          <w:tab w:val="right" w:leader="dot" w:pos="8312"/>
        </w:tabs>
      </w:pPr>
      <w:hyperlink w:anchor="_Toc22403" w:history="1">
        <w:r w:rsidR="00A73164">
          <w:rPr>
            <w:rFonts w:ascii="Times New Roman" w:eastAsia="黑体"/>
          </w:rPr>
          <w:t>第</w:t>
        </w:r>
        <w:r w:rsidR="00A73164">
          <w:rPr>
            <w:rFonts w:ascii="Times New Roman" w:eastAsia="黑体" w:hint="eastAsia"/>
          </w:rPr>
          <w:t>六</w:t>
        </w:r>
        <w:r w:rsidR="00A73164">
          <w:rPr>
            <w:rFonts w:ascii="Times New Roman" w:eastAsia="黑体"/>
          </w:rPr>
          <w:t>章</w:t>
        </w:r>
        <w:r w:rsidR="00A73164">
          <w:rPr>
            <w:rFonts w:ascii="Times New Roman" w:eastAsia="黑体"/>
          </w:rPr>
          <w:t xml:space="preserve"> </w:t>
        </w:r>
        <w:r w:rsidR="00A73164">
          <w:rPr>
            <w:rFonts w:ascii="Times New Roman" w:eastAsia="黑体"/>
          </w:rPr>
          <w:t>重大分歧意见的处理经过和依据</w:t>
        </w:r>
        <w:r w:rsidR="00A73164">
          <w:tab/>
        </w:r>
        <w:r w:rsidR="00A73164">
          <w:fldChar w:fldCharType="begin"/>
        </w:r>
        <w:r w:rsidR="00A73164">
          <w:instrText xml:space="preserve"> PAGEREF _Toc22403 \h </w:instrText>
        </w:r>
        <w:r w:rsidR="00A73164">
          <w:fldChar w:fldCharType="separate"/>
        </w:r>
        <w:r w:rsidR="00A73164">
          <w:t>12</w:t>
        </w:r>
        <w:r w:rsidR="00A73164">
          <w:fldChar w:fldCharType="end"/>
        </w:r>
      </w:hyperlink>
    </w:p>
    <w:p w14:paraId="2656685A" w14:textId="77777777" w:rsidR="00F659ED" w:rsidRDefault="00E74F06">
      <w:pPr>
        <w:pStyle w:val="TOC1"/>
        <w:tabs>
          <w:tab w:val="clear" w:pos="567"/>
          <w:tab w:val="clear" w:pos="8296"/>
          <w:tab w:val="right" w:leader="dot" w:pos="8312"/>
        </w:tabs>
      </w:pPr>
      <w:hyperlink w:anchor="_Toc28797" w:history="1">
        <w:r w:rsidR="00A73164">
          <w:rPr>
            <w:rFonts w:ascii="Times New Roman" w:eastAsia="黑体"/>
          </w:rPr>
          <w:t>第</w:t>
        </w:r>
        <w:r w:rsidR="00A73164">
          <w:rPr>
            <w:rFonts w:ascii="Times New Roman" w:eastAsia="黑体" w:hint="eastAsia"/>
          </w:rPr>
          <w:t>七</w:t>
        </w:r>
        <w:r w:rsidR="00A73164">
          <w:rPr>
            <w:rFonts w:ascii="Times New Roman" w:eastAsia="黑体"/>
          </w:rPr>
          <w:t>章</w:t>
        </w:r>
        <w:r w:rsidR="00A73164">
          <w:rPr>
            <w:rFonts w:ascii="Times New Roman" w:eastAsia="黑体"/>
          </w:rPr>
          <w:t xml:space="preserve"> </w:t>
        </w:r>
        <w:r w:rsidR="00A73164">
          <w:rPr>
            <w:rFonts w:ascii="Times New Roman" w:eastAsia="黑体"/>
          </w:rPr>
          <w:t>标准作为强制性标准或推荐性标准的建议</w:t>
        </w:r>
        <w:r w:rsidR="00A73164">
          <w:tab/>
        </w:r>
        <w:r w:rsidR="00A73164">
          <w:fldChar w:fldCharType="begin"/>
        </w:r>
        <w:r w:rsidR="00A73164">
          <w:instrText xml:space="preserve"> PAGEREF _Toc28797 \h </w:instrText>
        </w:r>
        <w:r w:rsidR="00A73164">
          <w:fldChar w:fldCharType="separate"/>
        </w:r>
        <w:r w:rsidR="00A73164">
          <w:t>13</w:t>
        </w:r>
        <w:r w:rsidR="00A73164">
          <w:fldChar w:fldCharType="end"/>
        </w:r>
      </w:hyperlink>
    </w:p>
    <w:p w14:paraId="5BEE1D1C" w14:textId="77777777" w:rsidR="00F659ED" w:rsidRDefault="00E74F06">
      <w:pPr>
        <w:pStyle w:val="TOC1"/>
        <w:tabs>
          <w:tab w:val="clear" w:pos="567"/>
          <w:tab w:val="clear" w:pos="8296"/>
          <w:tab w:val="right" w:leader="dot" w:pos="8312"/>
        </w:tabs>
      </w:pPr>
      <w:hyperlink w:anchor="_Toc9364" w:history="1">
        <w:r w:rsidR="00A73164">
          <w:rPr>
            <w:rFonts w:ascii="Times New Roman" w:eastAsia="黑体"/>
          </w:rPr>
          <w:t>第</w:t>
        </w:r>
        <w:r w:rsidR="00A73164">
          <w:rPr>
            <w:rFonts w:ascii="Times New Roman" w:eastAsia="黑体" w:hint="eastAsia"/>
          </w:rPr>
          <w:t>八</w:t>
        </w:r>
        <w:r w:rsidR="00A73164">
          <w:rPr>
            <w:rFonts w:ascii="Times New Roman" w:eastAsia="黑体"/>
          </w:rPr>
          <w:t>章</w:t>
        </w:r>
        <w:r w:rsidR="00A73164">
          <w:rPr>
            <w:rFonts w:ascii="Times New Roman" w:eastAsia="黑体"/>
          </w:rPr>
          <w:t xml:space="preserve"> </w:t>
        </w:r>
        <w:r w:rsidR="00A73164">
          <w:rPr>
            <w:rFonts w:ascii="Times New Roman" w:eastAsia="黑体"/>
          </w:rPr>
          <w:t>贯彻标准的要求和措施建议</w:t>
        </w:r>
        <w:r w:rsidR="00A73164">
          <w:tab/>
        </w:r>
        <w:r w:rsidR="00A73164">
          <w:fldChar w:fldCharType="begin"/>
        </w:r>
        <w:r w:rsidR="00A73164">
          <w:instrText xml:space="preserve"> PAGEREF _Toc9364 \h </w:instrText>
        </w:r>
        <w:r w:rsidR="00A73164">
          <w:fldChar w:fldCharType="separate"/>
        </w:r>
        <w:r w:rsidR="00A73164">
          <w:t>13</w:t>
        </w:r>
        <w:r w:rsidR="00A73164">
          <w:fldChar w:fldCharType="end"/>
        </w:r>
      </w:hyperlink>
    </w:p>
    <w:p w14:paraId="58DFA1E6" w14:textId="77777777" w:rsidR="00F659ED" w:rsidRDefault="00E74F06">
      <w:pPr>
        <w:pStyle w:val="TOC1"/>
        <w:tabs>
          <w:tab w:val="clear" w:pos="567"/>
          <w:tab w:val="clear" w:pos="8296"/>
          <w:tab w:val="right" w:leader="dot" w:pos="8312"/>
        </w:tabs>
      </w:pPr>
      <w:hyperlink w:anchor="_Toc17709" w:history="1">
        <w:r w:rsidR="00A73164">
          <w:rPr>
            <w:rFonts w:ascii="Times New Roman" w:eastAsia="黑体"/>
          </w:rPr>
          <w:t>第</w:t>
        </w:r>
        <w:r w:rsidR="00A73164">
          <w:rPr>
            <w:rFonts w:ascii="Times New Roman" w:eastAsia="黑体" w:hint="eastAsia"/>
          </w:rPr>
          <w:t>九</w:t>
        </w:r>
        <w:r w:rsidR="00A73164">
          <w:rPr>
            <w:rFonts w:ascii="Times New Roman" w:eastAsia="黑体"/>
          </w:rPr>
          <w:t>章</w:t>
        </w:r>
        <w:r w:rsidR="00A73164">
          <w:rPr>
            <w:rFonts w:ascii="Times New Roman" w:eastAsia="黑体"/>
          </w:rPr>
          <w:t xml:space="preserve"> </w:t>
        </w:r>
        <w:r w:rsidR="00A73164">
          <w:rPr>
            <w:rFonts w:ascii="Times New Roman" w:eastAsia="黑体"/>
          </w:rPr>
          <w:t>废止现行有关标准的建议</w:t>
        </w:r>
        <w:r w:rsidR="00A73164">
          <w:tab/>
        </w:r>
        <w:r w:rsidR="00A73164">
          <w:fldChar w:fldCharType="begin"/>
        </w:r>
        <w:r w:rsidR="00A73164">
          <w:instrText xml:space="preserve"> PAGEREF _Toc17709 \h </w:instrText>
        </w:r>
        <w:r w:rsidR="00A73164">
          <w:fldChar w:fldCharType="separate"/>
        </w:r>
        <w:r w:rsidR="00A73164">
          <w:t>13</w:t>
        </w:r>
        <w:r w:rsidR="00A73164">
          <w:fldChar w:fldCharType="end"/>
        </w:r>
      </w:hyperlink>
    </w:p>
    <w:p w14:paraId="1652CF85" w14:textId="77777777" w:rsidR="00F659ED" w:rsidRDefault="00E74F06">
      <w:pPr>
        <w:pStyle w:val="TOC1"/>
        <w:tabs>
          <w:tab w:val="clear" w:pos="567"/>
          <w:tab w:val="clear" w:pos="8296"/>
          <w:tab w:val="right" w:leader="dot" w:pos="8312"/>
        </w:tabs>
      </w:pPr>
      <w:hyperlink w:anchor="_Toc16117" w:history="1">
        <w:r w:rsidR="00A73164">
          <w:rPr>
            <w:rFonts w:ascii="Times New Roman" w:eastAsia="黑体"/>
          </w:rPr>
          <w:t>第</w:t>
        </w:r>
        <w:r w:rsidR="00A73164">
          <w:rPr>
            <w:rFonts w:ascii="Times New Roman" w:eastAsia="黑体" w:hint="eastAsia"/>
          </w:rPr>
          <w:t>十</w:t>
        </w:r>
        <w:r w:rsidR="00A73164">
          <w:rPr>
            <w:rFonts w:ascii="Times New Roman" w:eastAsia="黑体"/>
          </w:rPr>
          <w:t>章</w:t>
        </w:r>
        <w:r w:rsidR="00A73164">
          <w:rPr>
            <w:rFonts w:ascii="Times New Roman" w:eastAsia="黑体"/>
          </w:rPr>
          <w:t xml:space="preserve"> </w:t>
        </w:r>
        <w:r w:rsidR="00A73164">
          <w:rPr>
            <w:rFonts w:ascii="Times New Roman" w:eastAsia="黑体"/>
          </w:rPr>
          <w:t>其他应予说明的事项</w:t>
        </w:r>
        <w:r w:rsidR="00A73164">
          <w:tab/>
        </w:r>
        <w:r w:rsidR="00A73164">
          <w:fldChar w:fldCharType="begin"/>
        </w:r>
        <w:r w:rsidR="00A73164">
          <w:instrText xml:space="preserve"> PAGEREF _Toc16117 \h </w:instrText>
        </w:r>
        <w:r w:rsidR="00A73164">
          <w:fldChar w:fldCharType="separate"/>
        </w:r>
        <w:r w:rsidR="00A73164">
          <w:t>13</w:t>
        </w:r>
        <w:r w:rsidR="00A73164">
          <w:fldChar w:fldCharType="end"/>
        </w:r>
      </w:hyperlink>
    </w:p>
    <w:p w14:paraId="01EFE86D" w14:textId="77777777" w:rsidR="00F659ED" w:rsidRDefault="00A73164">
      <w:pPr>
        <w:spacing w:line="360" w:lineRule="auto"/>
        <w:rPr>
          <w:rFonts w:ascii="Times New Roman" w:hAnsi="Times New Roman" w:cs="Times New Roman"/>
        </w:rPr>
      </w:pPr>
      <w:r>
        <w:rPr>
          <w:rFonts w:ascii="Times New Roman" w:eastAsia="仿宋" w:hAnsi="Times New Roman" w:cs="Times New Roman"/>
          <w:szCs w:val="44"/>
        </w:rPr>
        <w:fldChar w:fldCharType="end"/>
      </w:r>
    </w:p>
    <w:p w14:paraId="6BB45F88" w14:textId="77777777" w:rsidR="00F659ED" w:rsidRDefault="00F659ED">
      <w:pPr>
        <w:jc w:val="center"/>
        <w:rPr>
          <w:rFonts w:ascii="Times New Roman" w:hAnsi="Times New Roman" w:cs="Times New Roman"/>
          <w:b/>
          <w:sz w:val="36"/>
          <w:szCs w:val="36"/>
        </w:rPr>
      </w:pPr>
    </w:p>
    <w:p w14:paraId="01C1DE9F" w14:textId="77777777" w:rsidR="00F659ED" w:rsidRDefault="00F659ED">
      <w:pPr>
        <w:jc w:val="center"/>
        <w:rPr>
          <w:rFonts w:ascii="Times New Roman" w:hAnsi="Times New Roman" w:cs="Times New Roman"/>
          <w:b/>
          <w:sz w:val="36"/>
          <w:szCs w:val="36"/>
        </w:rPr>
      </w:pPr>
    </w:p>
    <w:p w14:paraId="058627B2" w14:textId="77777777" w:rsidR="00F659ED" w:rsidRDefault="00F659ED">
      <w:pPr>
        <w:jc w:val="center"/>
        <w:rPr>
          <w:rFonts w:ascii="Times New Roman" w:hAnsi="Times New Roman" w:cs="Times New Roman"/>
          <w:b/>
          <w:sz w:val="36"/>
          <w:szCs w:val="36"/>
        </w:rPr>
      </w:pPr>
    </w:p>
    <w:p w14:paraId="06AD9869" w14:textId="77777777" w:rsidR="00F659ED" w:rsidRDefault="00F659ED">
      <w:pPr>
        <w:jc w:val="center"/>
        <w:rPr>
          <w:rFonts w:ascii="Times New Roman" w:eastAsia="黑体" w:hAnsi="Times New Roman" w:cs="Times New Roman"/>
          <w:sz w:val="30"/>
          <w:szCs w:val="30"/>
        </w:rPr>
        <w:sectPr w:rsidR="00F659ED">
          <w:pgSz w:w="11906" w:h="16838"/>
          <w:pgMar w:top="1440" w:right="1797" w:bottom="1440" w:left="1797" w:header="851" w:footer="992" w:gutter="0"/>
          <w:cols w:space="425"/>
          <w:titlePg/>
          <w:docGrid w:type="lines" w:linePitch="312"/>
        </w:sectPr>
      </w:pPr>
    </w:p>
    <w:p w14:paraId="4CBC95DA" w14:textId="77777777" w:rsidR="00F659ED" w:rsidRDefault="00F659ED">
      <w:pPr>
        <w:jc w:val="center"/>
        <w:rPr>
          <w:rFonts w:ascii="Times New Roman" w:eastAsia="黑体" w:hAnsi="Times New Roman" w:cs="Times New Roman"/>
          <w:sz w:val="36"/>
          <w:szCs w:val="44"/>
        </w:rPr>
      </w:pPr>
    </w:p>
    <w:p w14:paraId="79CDB319" w14:textId="77777777" w:rsidR="00F659ED" w:rsidRDefault="00A73164">
      <w:pPr>
        <w:jc w:val="center"/>
        <w:rPr>
          <w:rFonts w:ascii="Times New Roman" w:eastAsia="黑体" w:hAnsi="Times New Roman" w:cs="Times New Roman"/>
          <w:sz w:val="36"/>
          <w:szCs w:val="44"/>
        </w:rPr>
      </w:pPr>
      <w:r>
        <w:rPr>
          <w:rFonts w:ascii="Times New Roman" w:eastAsia="黑体" w:hAnsi="Times New Roman" w:cs="Times New Roman"/>
          <w:sz w:val="36"/>
          <w:szCs w:val="44"/>
        </w:rPr>
        <w:t>《</w:t>
      </w:r>
      <w:r>
        <w:rPr>
          <w:rFonts w:ascii="Times New Roman" w:eastAsia="黑体" w:hAnsi="Times New Roman" w:cs="Times New Roman" w:hint="eastAsia"/>
          <w:sz w:val="36"/>
          <w:szCs w:val="44"/>
        </w:rPr>
        <w:t>有色金属冶炼场地生态重构技术规范</w:t>
      </w:r>
      <w:r>
        <w:rPr>
          <w:rFonts w:ascii="Times New Roman" w:eastAsia="黑体" w:hAnsi="Times New Roman" w:cs="Times New Roman"/>
          <w:sz w:val="36"/>
          <w:szCs w:val="44"/>
        </w:rPr>
        <w:t>》</w:t>
      </w:r>
      <w:r>
        <w:rPr>
          <w:rFonts w:ascii="Times New Roman" w:eastAsia="黑体" w:hAnsi="Times New Roman" w:cs="Times New Roman" w:hint="eastAsia"/>
          <w:sz w:val="36"/>
          <w:szCs w:val="44"/>
        </w:rPr>
        <w:t>（征求意见稿）</w:t>
      </w:r>
    </w:p>
    <w:p w14:paraId="635CB666" w14:textId="77777777" w:rsidR="00F659ED" w:rsidRDefault="00A73164">
      <w:pPr>
        <w:jc w:val="center"/>
        <w:rPr>
          <w:rFonts w:ascii="Times New Roman" w:eastAsia="黑体" w:hAnsi="Times New Roman" w:cs="Times New Roman"/>
          <w:sz w:val="36"/>
          <w:szCs w:val="44"/>
        </w:rPr>
      </w:pPr>
      <w:r>
        <w:rPr>
          <w:rFonts w:ascii="Times New Roman" w:eastAsia="黑体" w:hAnsi="Times New Roman" w:cs="Times New Roman"/>
          <w:sz w:val="36"/>
          <w:szCs w:val="44"/>
        </w:rPr>
        <w:t>编制说明</w:t>
      </w:r>
    </w:p>
    <w:p w14:paraId="76CE4BAE" w14:textId="77777777" w:rsidR="00F659ED" w:rsidRDefault="00F659ED">
      <w:pPr>
        <w:jc w:val="center"/>
        <w:rPr>
          <w:rFonts w:ascii="Times New Roman" w:eastAsia="黑体" w:hAnsi="Times New Roman" w:cs="Times New Roman"/>
          <w:sz w:val="36"/>
          <w:szCs w:val="44"/>
        </w:rPr>
      </w:pPr>
    </w:p>
    <w:p w14:paraId="633A503D" w14:textId="77777777" w:rsidR="00F659ED" w:rsidRPr="00AF3D7F" w:rsidRDefault="00A73164">
      <w:pPr>
        <w:pStyle w:val="aff"/>
        <w:adjustRightInd w:val="0"/>
        <w:snapToGrid w:val="0"/>
        <w:spacing w:beforeLines="100" w:before="312" w:afterLines="50" w:after="156" w:line="360" w:lineRule="auto"/>
        <w:ind w:firstLineChars="220" w:firstLine="707"/>
        <w:jc w:val="left"/>
        <w:rPr>
          <w:rFonts w:ascii="仿宋" w:eastAsia="仿宋" w:hAnsi="仿宋" w:cs="Times New Roman"/>
        </w:rPr>
      </w:pPr>
      <w:bookmarkStart w:id="0" w:name="_Toc16634"/>
      <w:bookmarkStart w:id="1" w:name="_Toc32108"/>
      <w:bookmarkStart w:id="2" w:name="_Toc12659"/>
      <w:bookmarkStart w:id="3" w:name="_Toc25171"/>
      <w:r w:rsidRPr="00AF3D7F">
        <w:rPr>
          <w:rFonts w:ascii="仿宋" w:eastAsia="仿宋" w:hAnsi="仿宋" w:cs="Times New Roman"/>
        </w:rPr>
        <w:t>第一章 工作简况</w:t>
      </w:r>
      <w:bookmarkEnd w:id="0"/>
      <w:bookmarkEnd w:id="1"/>
      <w:bookmarkEnd w:id="2"/>
      <w:bookmarkEnd w:id="3"/>
    </w:p>
    <w:p w14:paraId="4F252214" w14:textId="77777777" w:rsidR="00F659ED" w:rsidRPr="00AF3D7F" w:rsidRDefault="00A73164">
      <w:pPr>
        <w:spacing w:beforeLines="50" w:before="156" w:afterLines="50" w:after="156" w:line="360" w:lineRule="auto"/>
        <w:ind w:firstLineChars="200" w:firstLine="602"/>
        <w:jc w:val="left"/>
        <w:rPr>
          <w:rFonts w:ascii="仿宋" w:eastAsia="仿宋" w:hAnsi="仿宋" w:cs="仿宋_GB2312"/>
          <w:b/>
          <w:bCs/>
          <w:sz w:val="30"/>
          <w:szCs w:val="30"/>
        </w:rPr>
      </w:pPr>
      <w:bookmarkStart w:id="4" w:name="_Toc390343053"/>
      <w:bookmarkStart w:id="5" w:name="_Toc25303"/>
      <w:r w:rsidRPr="00AF3D7F">
        <w:rPr>
          <w:rFonts w:ascii="仿宋" w:eastAsia="仿宋" w:hAnsi="仿宋" w:cs="仿宋_GB2312" w:hint="eastAsia"/>
          <w:b/>
          <w:bCs/>
          <w:sz w:val="30"/>
          <w:szCs w:val="30"/>
        </w:rPr>
        <w:t>（一）任务来源</w:t>
      </w:r>
      <w:bookmarkEnd w:id="4"/>
      <w:bookmarkEnd w:id="5"/>
    </w:p>
    <w:p w14:paraId="5E994503" w14:textId="77777777" w:rsidR="00F659ED" w:rsidRPr="00AF3D7F" w:rsidRDefault="00A73164">
      <w:pPr>
        <w:spacing w:line="360" w:lineRule="auto"/>
        <w:ind w:firstLineChars="200" w:firstLine="560"/>
        <w:jc w:val="left"/>
        <w:rPr>
          <w:rFonts w:ascii="仿宋" w:eastAsia="仿宋" w:hAnsi="仿宋" w:cs="仿宋_GB2312"/>
          <w:sz w:val="28"/>
          <w:szCs w:val="24"/>
        </w:rPr>
      </w:pPr>
      <w:r w:rsidRPr="00AF3D7F">
        <w:rPr>
          <w:rFonts w:ascii="仿宋" w:eastAsia="仿宋" w:hAnsi="仿宋" w:cs="仿宋_GB2312" w:hint="eastAsia"/>
          <w:sz w:val="28"/>
          <w:szCs w:val="24"/>
        </w:rPr>
        <w:t>有色金属冶炼利用过程不可避免地会对周边环境产生剧烈扰动与破坏，继而威胁生态和人类健康。</w:t>
      </w:r>
      <w:bookmarkStart w:id="6" w:name="_Hlk135300232"/>
      <w:r w:rsidRPr="00AF3D7F">
        <w:rPr>
          <w:rFonts w:ascii="仿宋" w:eastAsia="仿宋" w:hAnsi="仿宋" w:cs="仿宋_GB2312" w:hint="eastAsia"/>
          <w:sz w:val="28"/>
          <w:szCs w:val="24"/>
        </w:rPr>
        <w:t>为了保证生态环境可持续发展，对</w:t>
      </w:r>
      <w:r w:rsidRPr="00AF3D7F">
        <w:rPr>
          <w:rFonts w:ascii="仿宋" w:eastAsia="仿宋" w:hAnsi="仿宋" w:cs="仿宋_GB2312" w:hint="eastAsia"/>
          <w:sz w:val="28"/>
          <w:szCs w:val="24"/>
          <w:lang w:bidi="ar"/>
        </w:rPr>
        <w:t>历史遗留有色冶炼场地</w:t>
      </w:r>
      <w:r w:rsidRPr="00AF3D7F">
        <w:rPr>
          <w:rFonts w:ascii="仿宋" w:eastAsia="仿宋" w:hAnsi="仿宋" w:cs="仿宋_GB2312" w:hint="eastAsia"/>
          <w:sz w:val="28"/>
          <w:szCs w:val="24"/>
        </w:rPr>
        <w:t>进行生态</w:t>
      </w:r>
      <w:bookmarkEnd w:id="6"/>
      <w:r w:rsidRPr="00AF3D7F">
        <w:rPr>
          <w:rFonts w:ascii="仿宋" w:eastAsia="仿宋" w:hAnsi="仿宋" w:cs="仿宋_GB2312" w:hint="eastAsia"/>
          <w:sz w:val="28"/>
          <w:szCs w:val="24"/>
        </w:rPr>
        <w:t>重构意义重大。</w:t>
      </w:r>
    </w:p>
    <w:p w14:paraId="38F96593" w14:textId="77777777" w:rsidR="00F659ED" w:rsidRPr="00AF3D7F" w:rsidRDefault="00A73164">
      <w:pPr>
        <w:spacing w:line="360" w:lineRule="auto"/>
        <w:ind w:firstLineChars="200" w:firstLine="560"/>
        <w:jc w:val="left"/>
        <w:rPr>
          <w:rFonts w:ascii="仿宋" w:eastAsia="仿宋" w:hAnsi="仿宋" w:cs="仿宋_GB2312"/>
          <w:sz w:val="28"/>
          <w:szCs w:val="24"/>
        </w:rPr>
      </w:pPr>
      <w:r w:rsidRPr="00AF3D7F">
        <w:rPr>
          <w:rFonts w:ascii="仿宋" w:eastAsia="仿宋" w:hAnsi="仿宋" w:cs="仿宋_GB2312" w:hint="eastAsia"/>
          <w:sz w:val="28"/>
          <w:szCs w:val="24"/>
        </w:rPr>
        <w:t>为科学推进有色冶炼场地生态重构修复工作，规范有色冶炼场地生态重构技术方法，细化有色冶炼场地生态重构修复业务流程，指导有色冶炼场地生态重构现场工作，根据《中华人民共和国环境保护法》《中华人民共和国土壤污染防治法》《国务院关于加强环境保护重点工作的意见》《土地复垦条例》等有关法律法规，编制本技术规范。</w:t>
      </w:r>
    </w:p>
    <w:p w14:paraId="2C2E8617" w14:textId="77777777" w:rsidR="003650A2" w:rsidRPr="003650A2" w:rsidRDefault="003650A2" w:rsidP="003650A2">
      <w:pPr>
        <w:spacing w:beforeLines="50" w:before="156" w:afterLines="50" w:after="156" w:line="360" w:lineRule="auto"/>
        <w:ind w:firstLineChars="200" w:firstLine="560"/>
        <w:jc w:val="left"/>
        <w:rPr>
          <w:rFonts w:ascii="仿宋" w:eastAsia="仿宋" w:hAnsi="仿宋" w:cs="仿宋_GB2312"/>
          <w:sz w:val="28"/>
          <w:szCs w:val="24"/>
        </w:rPr>
      </w:pPr>
      <w:bookmarkStart w:id="7" w:name="_Toc28742"/>
      <w:r w:rsidRPr="003650A2">
        <w:rPr>
          <w:rFonts w:ascii="仿宋" w:eastAsia="仿宋" w:hAnsi="仿宋" w:cs="仿宋_GB2312" w:hint="eastAsia"/>
          <w:sz w:val="28"/>
          <w:szCs w:val="24"/>
        </w:rPr>
        <w:t>本标准由湖南省环境治理行业协会提出并归口。</w:t>
      </w:r>
    </w:p>
    <w:p w14:paraId="2305AB60" w14:textId="77777777" w:rsidR="003650A2" w:rsidRDefault="003650A2" w:rsidP="003650A2">
      <w:pPr>
        <w:spacing w:beforeLines="50" w:before="156" w:afterLines="50" w:after="156" w:line="360" w:lineRule="auto"/>
        <w:ind w:firstLineChars="200" w:firstLine="560"/>
        <w:jc w:val="left"/>
        <w:rPr>
          <w:rFonts w:ascii="仿宋" w:eastAsia="仿宋" w:hAnsi="仿宋" w:cs="仿宋_GB2312"/>
          <w:sz w:val="28"/>
          <w:szCs w:val="24"/>
        </w:rPr>
      </w:pPr>
      <w:r w:rsidRPr="003650A2">
        <w:rPr>
          <w:rFonts w:ascii="仿宋" w:eastAsia="仿宋" w:hAnsi="仿宋" w:cs="仿宋_GB2312" w:hint="eastAsia"/>
          <w:sz w:val="28"/>
          <w:szCs w:val="24"/>
        </w:rPr>
        <w:t>本标准由湖南省环境治理行业协会负责管理和解释，中南大学负责具体技术内容的解释。在应用过程中如有需要修改与补充的建议，请将相关资料寄送湖南省环境治理行业协会标准管理部门。</w:t>
      </w:r>
    </w:p>
    <w:p w14:paraId="56983396" w14:textId="29BF17ED" w:rsidR="00F659ED" w:rsidRPr="00AF3D7F" w:rsidRDefault="00A73164" w:rsidP="003650A2">
      <w:pPr>
        <w:spacing w:beforeLines="50" w:before="156" w:afterLines="50" w:after="156" w:line="360" w:lineRule="auto"/>
        <w:ind w:firstLineChars="200" w:firstLine="602"/>
        <w:jc w:val="left"/>
        <w:rPr>
          <w:rFonts w:ascii="仿宋" w:eastAsia="仿宋" w:hAnsi="仿宋" w:cs="仿宋_GB2312"/>
          <w:b/>
          <w:bCs/>
          <w:sz w:val="30"/>
          <w:szCs w:val="30"/>
        </w:rPr>
      </w:pPr>
      <w:r w:rsidRPr="00AF3D7F">
        <w:rPr>
          <w:rFonts w:ascii="仿宋" w:eastAsia="仿宋" w:hAnsi="仿宋" w:cs="仿宋_GB2312" w:hint="eastAsia"/>
          <w:b/>
          <w:bCs/>
          <w:sz w:val="30"/>
          <w:szCs w:val="30"/>
        </w:rPr>
        <w:t>（二）标准起草单位和主要起草人</w:t>
      </w:r>
      <w:bookmarkEnd w:id="7"/>
    </w:p>
    <w:p w14:paraId="5CCCC506" w14:textId="77777777" w:rsidR="003650A2" w:rsidRPr="003650A2" w:rsidRDefault="003650A2" w:rsidP="003650A2">
      <w:pPr>
        <w:spacing w:beforeLines="50" w:before="156" w:afterLines="50" w:after="156" w:line="360" w:lineRule="auto"/>
        <w:ind w:firstLineChars="200" w:firstLine="560"/>
        <w:jc w:val="left"/>
        <w:rPr>
          <w:rFonts w:ascii="仿宋" w:eastAsia="仿宋" w:hAnsi="仿宋" w:cs="仿宋_GB2312"/>
          <w:sz w:val="28"/>
          <w:szCs w:val="24"/>
        </w:rPr>
      </w:pPr>
      <w:bookmarkStart w:id="8" w:name="_Toc27861"/>
      <w:r w:rsidRPr="003650A2">
        <w:rPr>
          <w:rFonts w:ascii="仿宋" w:eastAsia="仿宋" w:hAnsi="仿宋" w:cs="仿宋_GB2312" w:hint="eastAsia"/>
          <w:sz w:val="28"/>
          <w:szCs w:val="24"/>
        </w:rPr>
        <w:lastRenderedPageBreak/>
        <w:t>本标准主要起草单位：中南大学、河南省地质研究院、河南大学、中国地质大学（武汉）、湖南省和清环境科技有限公司、中冶南方都市环保工程技术股份有限公司、河南省生态环境技术中心。</w:t>
      </w:r>
    </w:p>
    <w:p w14:paraId="36AF5332" w14:textId="77777777" w:rsidR="003650A2" w:rsidRPr="003650A2" w:rsidRDefault="003650A2" w:rsidP="003650A2">
      <w:pPr>
        <w:spacing w:beforeLines="50" w:before="156" w:afterLines="50" w:after="156" w:line="360" w:lineRule="auto"/>
        <w:ind w:firstLineChars="200" w:firstLine="560"/>
        <w:jc w:val="left"/>
        <w:rPr>
          <w:rFonts w:ascii="仿宋" w:eastAsia="仿宋" w:hAnsi="仿宋" w:cs="仿宋_GB2312"/>
          <w:sz w:val="28"/>
          <w:szCs w:val="24"/>
        </w:rPr>
      </w:pPr>
      <w:r w:rsidRPr="003650A2">
        <w:rPr>
          <w:rFonts w:ascii="仿宋" w:eastAsia="仿宋" w:hAnsi="仿宋" w:cs="仿宋_GB2312" w:hint="eastAsia"/>
          <w:sz w:val="28"/>
          <w:szCs w:val="24"/>
        </w:rPr>
        <w:t>本标准主要起草人：薛生国、朱锋、可文舜、曾嘉庆、赵颖、娄伟、何新生、李小红、张古彬、施烈焰、郭林、江钧、吴川、李雪、李幕。</w:t>
      </w:r>
    </w:p>
    <w:p w14:paraId="5BB55ACC" w14:textId="77777777" w:rsidR="00F659ED" w:rsidRPr="00AF3D7F" w:rsidRDefault="00A73164">
      <w:pPr>
        <w:spacing w:beforeLines="50" w:before="156" w:afterLines="50" w:after="156" w:line="360" w:lineRule="auto"/>
        <w:ind w:firstLineChars="200" w:firstLine="602"/>
        <w:jc w:val="left"/>
        <w:rPr>
          <w:rFonts w:ascii="仿宋" w:eastAsia="仿宋" w:hAnsi="仿宋" w:cs="仿宋_GB2312"/>
          <w:b/>
          <w:bCs/>
          <w:sz w:val="30"/>
          <w:szCs w:val="30"/>
        </w:rPr>
      </w:pPr>
      <w:r w:rsidRPr="00AF3D7F">
        <w:rPr>
          <w:rFonts w:ascii="仿宋" w:eastAsia="仿宋" w:hAnsi="仿宋" w:cs="仿宋_GB2312" w:hint="eastAsia"/>
          <w:b/>
          <w:bCs/>
          <w:sz w:val="30"/>
          <w:szCs w:val="30"/>
        </w:rPr>
        <w:t>（三）主要工作过程</w:t>
      </w:r>
      <w:bookmarkEnd w:id="8"/>
    </w:p>
    <w:p w14:paraId="5769243E" w14:textId="77777777" w:rsidR="00F659ED" w:rsidRPr="00AF3D7F" w:rsidRDefault="00A73164">
      <w:pPr>
        <w:spacing w:line="360" w:lineRule="auto"/>
        <w:ind w:firstLineChars="200" w:firstLine="560"/>
        <w:jc w:val="left"/>
        <w:rPr>
          <w:rFonts w:ascii="仿宋" w:eastAsia="仿宋" w:hAnsi="仿宋" w:cs="仿宋_GB2312"/>
          <w:sz w:val="28"/>
          <w:szCs w:val="24"/>
        </w:rPr>
      </w:pPr>
      <w:bookmarkStart w:id="9" w:name="_Toc262033708"/>
      <w:bookmarkStart w:id="10" w:name="_Toc261957185"/>
      <w:bookmarkStart w:id="11" w:name="_Toc11660"/>
      <w:bookmarkStart w:id="12" w:name="_Toc317364484"/>
      <w:bookmarkStart w:id="13" w:name="_Toc261957204"/>
      <w:r w:rsidRPr="00AF3D7F">
        <w:rPr>
          <w:rFonts w:ascii="仿宋" w:eastAsia="仿宋" w:hAnsi="仿宋" w:cs="仿宋_GB2312" w:hint="eastAsia"/>
          <w:sz w:val="28"/>
          <w:szCs w:val="24"/>
        </w:rPr>
        <w:t>1.前期研究阶段（20</w:t>
      </w:r>
      <w:r w:rsidRPr="00AF3D7F">
        <w:rPr>
          <w:rFonts w:ascii="仿宋" w:eastAsia="仿宋" w:hAnsi="仿宋" w:cs="仿宋_GB2312"/>
          <w:sz w:val="28"/>
          <w:szCs w:val="24"/>
        </w:rPr>
        <w:t>22</w:t>
      </w:r>
      <w:r w:rsidRPr="00AF3D7F">
        <w:rPr>
          <w:rFonts w:ascii="仿宋" w:eastAsia="仿宋" w:hAnsi="仿宋" w:cs="仿宋_GB2312" w:hint="eastAsia"/>
          <w:sz w:val="28"/>
          <w:szCs w:val="24"/>
        </w:rPr>
        <w:t>年1</w:t>
      </w:r>
      <w:r w:rsidRPr="00AF3D7F">
        <w:rPr>
          <w:rFonts w:ascii="仿宋" w:eastAsia="仿宋" w:hAnsi="仿宋" w:cs="仿宋_GB2312"/>
          <w:sz w:val="28"/>
          <w:szCs w:val="24"/>
        </w:rPr>
        <w:t>2</w:t>
      </w:r>
      <w:r w:rsidRPr="00AF3D7F">
        <w:rPr>
          <w:rFonts w:ascii="仿宋" w:eastAsia="仿宋" w:hAnsi="仿宋" w:cs="仿宋_GB2312" w:hint="eastAsia"/>
          <w:sz w:val="28"/>
          <w:szCs w:val="24"/>
        </w:rPr>
        <w:t>月至20</w:t>
      </w:r>
      <w:r w:rsidRPr="00AF3D7F">
        <w:rPr>
          <w:rFonts w:ascii="仿宋" w:eastAsia="仿宋" w:hAnsi="仿宋" w:cs="仿宋_GB2312"/>
          <w:sz w:val="28"/>
          <w:szCs w:val="24"/>
        </w:rPr>
        <w:t>23</w:t>
      </w:r>
      <w:r w:rsidRPr="00AF3D7F">
        <w:rPr>
          <w:rFonts w:ascii="仿宋" w:eastAsia="仿宋" w:hAnsi="仿宋" w:cs="仿宋_GB2312" w:hint="eastAsia"/>
          <w:sz w:val="28"/>
          <w:szCs w:val="24"/>
        </w:rPr>
        <w:t>年2月）</w:t>
      </w:r>
      <w:bookmarkEnd w:id="9"/>
      <w:bookmarkEnd w:id="10"/>
      <w:bookmarkEnd w:id="11"/>
      <w:bookmarkEnd w:id="12"/>
      <w:bookmarkEnd w:id="13"/>
    </w:p>
    <w:p w14:paraId="77A03A15" w14:textId="1AC44C5D" w:rsidR="00F659ED" w:rsidRPr="00AF3D7F" w:rsidRDefault="00A73164">
      <w:pPr>
        <w:spacing w:line="360" w:lineRule="auto"/>
        <w:ind w:firstLineChars="200" w:firstLine="560"/>
        <w:jc w:val="left"/>
        <w:rPr>
          <w:rFonts w:ascii="仿宋" w:eastAsia="仿宋" w:hAnsi="仿宋" w:cs="仿宋_GB2312"/>
          <w:sz w:val="28"/>
          <w:szCs w:val="24"/>
        </w:rPr>
      </w:pPr>
      <w:r w:rsidRPr="00AF3D7F">
        <w:rPr>
          <w:rFonts w:ascii="仿宋" w:eastAsia="仿宋" w:hAnsi="仿宋" w:cs="仿宋_GB2312" w:hint="eastAsia"/>
          <w:sz w:val="28"/>
          <w:szCs w:val="24"/>
        </w:rPr>
        <w:t>20</w:t>
      </w:r>
      <w:r w:rsidRPr="00AF3D7F">
        <w:rPr>
          <w:rFonts w:ascii="仿宋" w:eastAsia="仿宋" w:hAnsi="仿宋" w:cs="仿宋_GB2312"/>
          <w:sz w:val="28"/>
          <w:szCs w:val="24"/>
        </w:rPr>
        <w:t>22</w:t>
      </w:r>
      <w:r w:rsidRPr="00AF3D7F">
        <w:rPr>
          <w:rFonts w:ascii="仿宋" w:eastAsia="仿宋" w:hAnsi="仿宋" w:cs="仿宋_GB2312" w:hint="eastAsia"/>
          <w:sz w:val="28"/>
          <w:szCs w:val="24"/>
        </w:rPr>
        <w:t>年1</w:t>
      </w:r>
      <w:r w:rsidRPr="00AF3D7F">
        <w:rPr>
          <w:rFonts w:ascii="仿宋" w:eastAsia="仿宋" w:hAnsi="仿宋" w:cs="仿宋_GB2312"/>
          <w:sz w:val="28"/>
          <w:szCs w:val="24"/>
        </w:rPr>
        <w:t>2</w:t>
      </w:r>
      <w:r w:rsidRPr="00AF3D7F">
        <w:rPr>
          <w:rFonts w:ascii="仿宋" w:eastAsia="仿宋" w:hAnsi="仿宋" w:cs="仿宋_GB2312" w:hint="eastAsia"/>
          <w:sz w:val="28"/>
          <w:szCs w:val="24"/>
        </w:rPr>
        <w:t>月-20</w:t>
      </w:r>
      <w:r w:rsidRPr="00AF3D7F">
        <w:rPr>
          <w:rFonts w:ascii="仿宋" w:eastAsia="仿宋" w:hAnsi="仿宋" w:cs="仿宋_GB2312"/>
          <w:sz w:val="28"/>
          <w:szCs w:val="24"/>
        </w:rPr>
        <w:t>23</w:t>
      </w:r>
      <w:r w:rsidRPr="00AF3D7F">
        <w:rPr>
          <w:rFonts w:ascii="仿宋" w:eastAsia="仿宋" w:hAnsi="仿宋" w:cs="仿宋_GB2312" w:hint="eastAsia"/>
          <w:sz w:val="28"/>
          <w:szCs w:val="24"/>
        </w:rPr>
        <w:t>年2月，中南大学牵头有色冶炼场地修复工程，聚焦我国典型有色冶炼场地生态问题，深入研究了不同地域和不同类型有色冶炼污染场地的主要地质环境问题与生态影响，并组建了标准编制组，采用实地调研、类比分析、案例分析、趋势外推等相结合的方法，先后前往主要有色冶炼污染场地进行实地调查研究，探讨和总结了铅锌冶炼场</w:t>
      </w:r>
      <w:r w:rsidR="00087B68" w:rsidRPr="00AF3D7F">
        <w:rPr>
          <w:rFonts w:ascii="仿宋" w:eastAsia="仿宋" w:hAnsi="仿宋" w:cs="仿宋_GB2312" w:hint="eastAsia"/>
          <w:sz w:val="28"/>
          <w:szCs w:val="24"/>
        </w:rPr>
        <w:t>地</w:t>
      </w:r>
      <w:r w:rsidRPr="00AF3D7F">
        <w:rPr>
          <w:rFonts w:ascii="仿宋" w:eastAsia="仿宋" w:hAnsi="仿宋" w:cs="仿宋_GB2312" w:hint="eastAsia"/>
          <w:sz w:val="28"/>
          <w:szCs w:val="24"/>
        </w:rPr>
        <w:t>、</w:t>
      </w:r>
      <w:r w:rsidR="00F72CFF" w:rsidRPr="00AF3D7F">
        <w:rPr>
          <w:rFonts w:ascii="仿宋" w:eastAsia="仿宋" w:hAnsi="仿宋" w:cs="仿宋_GB2312" w:hint="eastAsia"/>
          <w:sz w:val="28"/>
          <w:szCs w:val="24"/>
        </w:rPr>
        <w:t>铝冶炼场地、锡</w:t>
      </w:r>
      <w:r w:rsidRPr="00AF3D7F">
        <w:rPr>
          <w:rFonts w:ascii="仿宋" w:eastAsia="仿宋" w:hAnsi="仿宋" w:cs="仿宋_GB2312" w:hint="eastAsia"/>
          <w:sz w:val="28"/>
          <w:szCs w:val="24"/>
        </w:rPr>
        <w:t>冶炼场</w:t>
      </w:r>
      <w:r w:rsidR="00087B68" w:rsidRPr="00AF3D7F">
        <w:rPr>
          <w:rFonts w:ascii="仿宋" w:eastAsia="仿宋" w:hAnsi="仿宋" w:cs="仿宋_GB2312" w:hint="eastAsia"/>
          <w:sz w:val="28"/>
          <w:szCs w:val="24"/>
        </w:rPr>
        <w:t>地</w:t>
      </w:r>
      <w:r w:rsidRPr="00AF3D7F">
        <w:rPr>
          <w:rFonts w:ascii="仿宋" w:eastAsia="仿宋" w:hAnsi="仿宋" w:cs="仿宋_GB2312" w:hint="eastAsia"/>
          <w:sz w:val="28"/>
          <w:szCs w:val="24"/>
        </w:rPr>
        <w:t>等不同类型有色冶炼污染场地生态</w:t>
      </w:r>
      <w:r w:rsidR="00C64A93">
        <w:rPr>
          <w:rFonts w:ascii="仿宋" w:eastAsia="仿宋" w:hAnsi="仿宋" w:cs="仿宋_GB2312" w:hint="eastAsia"/>
          <w:sz w:val="28"/>
          <w:szCs w:val="24"/>
        </w:rPr>
        <w:t>重构</w:t>
      </w:r>
      <w:r w:rsidRPr="00AF3D7F">
        <w:rPr>
          <w:rFonts w:ascii="仿宋" w:eastAsia="仿宋" w:hAnsi="仿宋" w:cs="仿宋_GB2312" w:hint="eastAsia"/>
          <w:sz w:val="28"/>
          <w:szCs w:val="24"/>
        </w:rPr>
        <w:t>的共性问题和个性问题，为有色冶炼场地生态</w:t>
      </w:r>
      <w:r w:rsidR="00C64A93">
        <w:rPr>
          <w:rFonts w:ascii="仿宋" w:eastAsia="仿宋" w:hAnsi="仿宋" w:cs="仿宋_GB2312" w:hint="eastAsia"/>
          <w:sz w:val="28"/>
          <w:szCs w:val="24"/>
        </w:rPr>
        <w:t>重构</w:t>
      </w:r>
      <w:r w:rsidRPr="00AF3D7F">
        <w:rPr>
          <w:rFonts w:ascii="仿宋" w:eastAsia="仿宋" w:hAnsi="仿宋" w:cs="仿宋_GB2312" w:hint="eastAsia"/>
          <w:sz w:val="28"/>
          <w:szCs w:val="24"/>
        </w:rPr>
        <w:t>施策提供决策依据。</w:t>
      </w:r>
    </w:p>
    <w:p w14:paraId="58E1367B" w14:textId="26DB3EA4" w:rsidR="00F659ED" w:rsidRPr="00AF3D7F" w:rsidRDefault="00A73164">
      <w:pPr>
        <w:spacing w:line="360" w:lineRule="auto"/>
        <w:ind w:firstLineChars="200" w:firstLine="560"/>
        <w:jc w:val="left"/>
        <w:rPr>
          <w:rFonts w:ascii="仿宋" w:eastAsia="仿宋" w:hAnsi="仿宋" w:cs="仿宋_GB2312"/>
          <w:sz w:val="28"/>
          <w:szCs w:val="24"/>
        </w:rPr>
      </w:pPr>
      <w:r w:rsidRPr="00AF3D7F">
        <w:rPr>
          <w:rFonts w:ascii="仿宋" w:eastAsia="仿宋" w:hAnsi="仿宋" w:cs="仿宋_GB2312" w:hint="eastAsia"/>
          <w:sz w:val="28"/>
          <w:szCs w:val="24"/>
        </w:rPr>
        <w:t>我国有色冶炼场地</w:t>
      </w:r>
      <w:r w:rsidR="00C64A93">
        <w:rPr>
          <w:rFonts w:ascii="仿宋" w:eastAsia="仿宋" w:hAnsi="仿宋" w:cs="仿宋_GB2312" w:hint="eastAsia"/>
          <w:sz w:val="28"/>
          <w:szCs w:val="24"/>
        </w:rPr>
        <w:t>生态重构</w:t>
      </w:r>
      <w:r w:rsidR="00F72CFF" w:rsidRPr="00AF3D7F">
        <w:rPr>
          <w:rFonts w:ascii="仿宋" w:eastAsia="仿宋" w:hAnsi="仿宋" w:cs="仿宋_GB2312" w:hint="eastAsia"/>
          <w:sz w:val="28"/>
          <w:szCs w:val="24"/>
        </w:rPr>
        <w:t>工程</w:t>
      </w:r>
      <w:r w:rsidRPr="00AF3D7F">
        <w:rPr>
          <w:rFonts w:ascii="仿宋" w:eastAsia="仿宋" w:hAnsi="仿宋" w:cs="仿宋_GB2312" w:hint="eastAsia"/>
          <w:sz w:val="28"/>
          <w:szCs w:val="24"/>
        </w:rPr>
        <w:t>正逐渐从传统的单一复绿手段向综合治理、</w:t>
      </w:r>
      <w:r w:rsidR="00F72CFF" w:rsidRPr="00AF3D7F">
        <w:rPr>
          <w:rFonts w:ascii="仿宋" w:eastAsia="仿宋" w:hAnsi="仿宋" w:cs="仿宋_GB2312" w:hint="eastAsia"/>
          <w:sz w:val="28"/>
          <w:szCs w:val="24"/>
        </w:rPr>
        <w:t>资源循环利用、土壤</w:t>
      </w:r>
      <w:r w:rsidRPr="00AF3D7F">
        <w:rPr>
          <w:rFonts w:ascii="仿宋" w:eastAsia="仿宋" w:hAnsi="仿宋" w:cs="仿宋_GB2312" w:hint="eastAsia"/>
          <w:sz w:val="28"/>
          <w:szCs w:val="24"/>
        </w:rPr>
        <w:t>功能恢复</w:t>
      </w:r>
      <w:r w:rsidR="00F72CFF" w:rsidRPr="00AF3D7F">
        <w:rPr>
          <w:rFonts w:ascii="仿宋" w:eastAsia="仿宋" w:hAnsi="仿宋" w:cs="仿宋_GB2312" w:hint="eastAsia"/>
          <w:sz w:val="28"/>
          <w:szCs w:val="24"/>
        </w:rPr>
        <w:t>及生态</w:t>
      </w:r>
      <w:r w:rsidRPr="00AF3D7F">
        <w:rPr>
          <w:rFonts w:ascii="仿宋" w:eastAsia="仿宋" w:hAnsi="仿宋" w:cs="仿宋_GB2312" w:hint="eastAsia"/>
          <w:sz w:val="28"/>
          <w:szCs w:val="24"/>
        </w:rPr>
        <w:t>重构等方式转变，运用的技术手段和表现手法也越发多样化，</w:t>
      </w:r>
      <w:r w:rsidR="00C64A93">
        <w:rPr>
          <w:rFonts w:ascii="仿宋" w:eastAsia="仿宋" w:hAnsi="仿宋" w:cs="仿宋_GB2312" w:hint="eastAsia"/>
          <w:sz w:val="28"/>
          <w:szCs w:val="24"/>
        </w:rPr>
        <w:t>生态重构</w:t>
      </w:r>
      <w:r w:rsidRPr="00AF3D7F">
        <w:rPr>
          <w:rFonts w:ascii="仿宋" w:eastAsia="仿宋" w:hAnsi="仿宋" w:cs="仿宋_GB2312" w:hint="eastAsia"/>
          <w:sz w:val="28"/>
          <w:szCs w:val="24"/>
        </w:rPr>
        <w:t>过程更注重模拟自然及尊重自然本底，实现生态恢复、资源开发再利用及文化艺术价值再现等，强调“社会-经济-自然”复合生态系统协同发展的</w:t>
      </w:r>
      <w:r w:rsidR="00C64A93">
        <w:rPr>
          <w:rFonts w:ascii="仿宋" w:eastAsia="仿宋" w:hAnsi="仿宋" w:cs="仿宋_GB2312" w:hint="eastAsia"/>
          <w:sz w:val="28"/>
          <w:szCs w:val="24"/>
        </w:rPr>
        <w:t>生态重构策略</w:t>
      </w:r>
      <w:r w:rsidRPr="00AF3D7F">
        <w:rPr>
          <w:rFonts w:ascii="仿宋" w:eastAsia="仿宋" w:hAnsi="仿宋" w:cs="仿宋_GB2312" w:hint="eastAsia"/>
          <w:sz w:val="28"/>
          <w:szCs w:val="24"/>
        </w:rPr>
        <w:t>。</w:t>
      </w:r>
    </w:p>
    <w:p w14:paraId="52F3FA74" w14:textId="77777777" w:rsidR="00F659ED" w:rsidRPr="00AF3D7F" w:rsidRDefault="00A73164">
      <w:pPr>
        <w:spacing w:line="360" w:lineRule="auto"/>
        <w:ind w:firstLineChars="200" w:firstLine="560"/>
        <w:jc w:val="left"/>
        <w:rPr>
          <w:rFonts w:ascii="仿宋" w:eastAsia="仿宋" w:hAnsi="仿宋" w:cs="仿宋_GB2312"/>
          <w:sz w:val="28"/>
          <w:szCs w:val="24"/>
        </w:rPr>
      </w:pPr>
      <w:bookmarkStart w:id="14" w:name="_Toc262033711"/>
      <w:bookmarkStart w:id="15" w:name="_Toc317364486"/>
      <w:bookmarkStart w:id="16" w:name="_Toc261957188"/>
      <w:bookmarkStart w:id="17" w:name="_Toc261957207"/>
      <w:bookmarkStart w:id="18" w:name="_Toc30446"/>
      <w:r w:rsidRPr="00AF3D7F">
        <w:rPr>
          <w:rFonts w:ascii="仿宋" w:eastAsia="仿宋" w:hAnsi="仿宋" w:cs="仿宋_GB2312" w:hint="eastAsia"/>
          <w:sz w:val="28"/>
          <w:szCs w:val="24"/>
        </w:rPr>
        <w:lastRenderedPageBreak/>
        <w:t>2.标准编制阶段（20</w:t>
      </w:r>
      <w:r w:rsidRPr="00AF3D7F">
        <w:rPr>
          <w:rFonts w:ascii="仿宋" w:eastAsia="仿宋" w:hAnsi="仿宋" w:cs="仿宋_GB2312"/>
          <w:sz w:val="28"/>
          <w:szCs w:val="24"/>
        </w:rPr>
        <w:t>23</w:t>
      </w:r>
      <w:r w:rsidRPr="00AF3D7F">
        <w:rPr>
          <w:rFonts w:ascii="仿宋" w:eastAsia="仿宋" w:hAnsi="仿宋" w:cs="仿宋_GB2312" w:hint="eastAsia"/>
          <w:sz w:val="28"/>
          <w:szCs w:val="24"/>
        </w:rPr>
        <w:t>年</w:t>
      </w:r>
      <w:r w:rsidRPr="00AF3D7F">
        <w:rPr>
          <w:rFonts w:ascii="仿宋" w:eastAsia="仿宋" w:hAnsi="仿宋" w:cs="仿宋_GB2312"/>
          <w:sz w:val="28"/>
          <w:szCs w:val="24"/>
        </w:rPr>
        <w:t>3</w:t>
      </w:r>
      <w:r w:rsidRPr="00AF3D7F">
        <w:rPr>
          <w:rFonts w:ascii="仿宋" w:eastAsia="仿宋" w:hAnsi="仿宋" w:cs="仿宋_GB2312" w:hint="eastAsia"/>
          <w:sz w:val="28"/>
          <w:szCs w:val="24"/>
        </w:rPr>
        <w:t>月至202</w:t>
      </w:r>
      <w:r w:rsidRPr="00AF3D7F">
        <w:rPr>
          <w:rFonts w:ascii="仿宋" w:eastAsia="仿宋" w:hAnsi="仿宋" w:cs="仿宋_GB2312"/>
          <w:sz w:val="28"/>
          <w:szCs w:val="24"/>
        </w:rPr>
        <w:t>3</w:t>
      </w:r>
      <w:r w:rsidRPr="00AF3D7F">
        <w:rPr>
          <w:rFonts w:ascii="仿宋" w:eastAsia="仿宋" w:hAnsi="仿宋" w:cs="仿宋_GB2312" w:hint="eastAsia"/>
          <w:sz w:val="28"/>
          <w:szCs w:val="24"/>
        </w:rPr>
        <w:t>年</w:t>
      </w:r>
      <w:r w:rsidRPr="00AF3D7F">
        <w:rPr>
          <w:rFonts w:ascii="仿宋" w:eastAsia="仿宋" w:hAnsi="仿宋" w:cs="仿宋_GB2312"/>
          <w:sz w:val="28"/>
          <w:szCs w:val="24"/>
        </w:rPr>
        <w:t>5</w:t>
      </w:r>
      <w:r w:rsidRPr="00AF3D7F">
        <w:rPr>
          <w:rFonts w:ascii="仿宋" w:eastAsia="仿宋" w:hAnsi="仿宋" w:cs="仿宋_GB2312" w:hint="eastAsia"/>
          <w:sz w:val="28"/>
          <w:szCs w:val="24"/>
        </w:rPr>
        <w:t>月）</w:t>
      </w:r>
      <w:bookmarkEnd w:id="14"/>
      <w:bookmarkEnd w:id="15"/>
      <w:bookmarkEnd w:id="16"/>
      <w:bookmarkEnd w:id="17"/>
      <w:bookmarkEnd w:id="18"/>
    </w:p>
    <w:p w14:paraId="74DC11F3" w14:textId="51CB1A98" w:rsidR="00F659ED" w:rsidRPr="00AF3D7F" w:rsidRDefault="00A73164">
      <w:pPr>
        <w:spacing w:line="360" w:lineRule="auto"/>
        <w:ind w:firstLineChars="200" w:firstLine="560"/>
        <w:jc w:val="left"/>
        <w:rPr>
          <w:rFonts w:ascii="仿宋" w:eastAsia="仿宋" w:hAnsi="仿宋" w:cs="仿宋_GB2312"/>
          <w:sz w:val="28"/>
          <w:szCs w:val="24"/>
        </w:rPr>
      </w:pPr>
      <w:r w:rsidRPr="00AF3D7F">
        <w:rPr>
          <w:rFonts w:ascii="仿宋" w:eastAsia="仿宋" w:hAnsi="仿宋" w:cs="仿宋_GB2312" w:hint="eastAsia"/>
          <w:sz w:val="28"/>
          <w:szCs w:val="24"/>
        </w:rPr>
        <w:t>20</w:t>
      </w:r>
      <w:r w:rsidRPr="00AF3D7F">
        <w:rPr>
          <w:rFonts w:ascii="仿宋" w:eastAsia="仿宋" w:hAnsi="仿宋" w:cs="仿宋_GB2312"/>
          <w:sz w:val="28"/>
          <w:szCs w:val="24"/>
        </w:rPr>
        <w:t>23</w:t>
      </w:r>
      <w:r w:rsidRPr="00AF3D7F">
        <w:rPr>
          <w:rFonts w:ascii="仿宋" w:eastAsia="仿宋" w:hAnsi="仿宋" w:cs="仿宋_GB2312" w:hint="eastAsia"/>
          <w:sz w:val="28"/>
          <w:szCs w:val="24"/>
        </w:rPr>
        <w:t>年</w:t>
      </w:r>
      <w:r w:rsidRPr="00AF3D7F">
        <w:rPr>
          <w:rFonts w:ascii="仿宋" w:eastAsia="仿宋" w:hAnsi="仿宋" w:cs="仿宋_GB2312"/>
          <w:sz w:val="28"/>
          <w:szCs w:val="24"/>
        </w:rPr>
        <w:t>3</w:t>
      </w:r>
      <w:r w:rsidRPr="00AF3D7F">
        <w:rPr>
          <w:rFonts w:ascii="仿宋" w:eastAsia="仿宋" w:hAnsi="仿宋" w:cs="仿宋_GB2312" w:hint="eastAsia"/>
          <w:sz w:val="28"/>
          <w:szCs w:val="24"/>
        </w:rPr>
        <w:t>月-202</w:t>
      </w:r>
      <w:r w:rsidRPr="00AF3D7F">
        <w:rPr>
          <w:rFonts w:ascii="仿宋" w:eastAsia="仿宋" w:hAnsi="仿宋" w:cs="仿宋_GB2312"/>
          <w:sz w:val="28"/>
          <w:szCs w:val="24"/>
        </w:rPr>
        <w:t>3</w:t>
      </w:r>
      <w:r w:rsidRPr="00AF3D7F">
        <w:rPr>
          <w:rFonts w:ascii="仿宋" w:eastAsia="仿宋" w:hAnsi="仿宋" w:cs="仿宋_GB2312" w:hint="eastAsia"/>
          <w:sz w:val="28"/>
          <w:szCs w:val="24"/>
        </w:rPr>
        <w:t>年</w:t>
      </w:r>
      <w:r w:rsidRPr="00AF3D7F">
        <w:rPr>
          <w:rFonts w:ascii="仿宋" w:eastAsia="仿宋" w:hAnsi="仿宋" w:cs="仿宋_GB2312"/>
          <w:sz w:val="28"/>
          <w:szCs w:val="24"/>
        </w:rPr>
        <w:t>5</w:t>
      </w:r>
      <w:r w:rsidRPr="00AF3D7F">
        <w:rPr>
          <w:rFonts w:ascii="仿宋" w:eastAsia="仿宋" w:hAnsi="仿宋" w:cs="仿宋_GB2312" w:hint="eastAsia"/>
          <w:sz w:val="28"/>
          <w:szCs w:val="24"/>
        </w:rPr>
        <w:t>月，在规范前期研究基础上，充分借鉴以往的全国有色冶炼场地环境调查研究成果，初步建立了一套有色冶炼场生态</w:t>
      </w:r>
      <w:r w:rsidR="00C64A93">
        <w:rPr>
          <w:rFonts w:ascii="仿宋" w:eastAsia="仿宋" w:hAnsi="仿宋" w:cs="仿宋_GB2312" w:hint="eastAsia"/>
          <w:sz w:val="28"/>
          <w:szCs w:val="24"/>
        </w:rPr>
        <w:t>重构</w:t>
      </w:r>
      <w:r w:rsidRPr="00AF3D7F">
        <w:rPr>
          <w:rFonts w:ascii="仿宋" w:eastAsia="仿宋" w:hAnsi="仿宋" w:cs="仿宋_GB2312" w:hint="eastAsia"/>
          <w:sz w:val="28"/>
          <w:szCs w:val="24"/>
        </w:rPr>
        <w:t>技术规范体系。技术规范的主要内容包括：基础调查与问题识别、生态</w:t>
      </w:r>
      <w:r w:rsidR="00C64A93">
        <w:rPr>
          <w:rFonts w:ascii="仿宋" w:eastAsia="仿宋" w:hAnsi="仿宋" w:cs="仿宋_GB2312" w:hint="eastAsia"/>
          <w:sz w:val="28"/>
          <w:szCs w:val="24"/>
        </w:rPr>
        <w:t>重构</w:t>
      </w:r>
      <w:r w:rsidRPr="00AF3D7F">
        <w:rPr>
          <w:rFonts w:ascii="仿宋" w:eastAsia="仿宋" w:hAnsi="仿宋" w:cs="仿宋_GB2312" w:hint="eastAsia"/>
          <w:sz w:val="28"/>
          <w:szCs w:val="24"/>
        </w:rPr>
        <w:t>方案设计、生态</w:t>
      </w:r>
      <w:r w:rsidR="00C64A93">
        <w:rPr>
          <w:rFonts w:ascii="仿宋" w:eastAsia="仿宋" w:hAnsi="仿宋" w:cs="仿宋_GB2312" w:hint="eastAsia"/>
          <w:sz w:val="28"/>
          <w:szCs w:val="24"/>
        </w:rPr>
        <w:t>重构</w:t>
      </w:r>
      <w:r w:rsidRPr="00AF3D7F">
        <w:rPr>
          <w:rFonts w:ascii="仿宋" w:eastAsia="仿宋" w:hAnsi="仿宋" w:cs="仿宋_GB2312" w:hint="eastAsia"/>
          <w:sz w:val="28"/>
          <w:szCs w:val="24"/>
        </w:rPr>
        <w:t>工程实施、监测与管护、成效评估等五个方面。</w:t>
      </w:r>
    </w:p>
    <w:p w14:paraId="39A98100" w14:textId="10DA6E37" w:rsidR="00F659ED" w:rsidRPr="00AF3D7F" w:rsidRDefault="00A73164">
      <w:pPr>
        <w:spacing w:beforeLines="50" w:before="156" w:afterLines="50" w:after="156" w:line="360" w:lineRule="auto"/>
        <w:ind w:firstLineChars="200" w:firstLine="602"/>
        <w:jc w:val="left"/>
        <w:rPr>
          <w:rFonts w:ascii="仿宋" w:eastAsia="仿宋" w:hAnsi="仿宋" w:cs="仿宋_GB2312"/>
          <w:b/>
          <w:bCs/>
          <w:sz w:val="30"/>
          <w:szCs w:val="30"/>
        </w:rPr>
      </w:pPr>
      <w:bookmarkStart w:id="19" w:name="_Toc20165"/>
      <w:r w:rsidRPr="00AF3D7F">
        <w:rPr>
          <w:rFonts w:ascii="仿宋" w:eastAsia="仿宋" w:hAnsi="仿宋" w:cs="仿宋_GB2312" w:hint="eastAsia"/>
          <w:b/>
          <w:bCs/>
          <w:sz w:val="30"/>
          <w:szCs w:val="30"/>
        </w:rPr>
        <w:t>（四）标准主要起草人所做工作</w:t>
      </w:r>
      <w:bookmarkEnd w:id="19"/>
    </w:p>
    <w:p w14:paraId="545F2F23" w14:textId="77777777" w:rsidR="0064455A" w:rsidRPr="00AF3D7F" w:rsidRDefault="00B65B63" w:rsidP="00B65B63">
      <w:pPr>
        <w:ind w:firstLine="480"/>
        <w:rPr>
          <w:rFonts w:ascii="仿宋" w:eastAsia="仿宋" w:hAnsi="仿宋" w:cs="仿宋_GB2312"/>
          <w:sz w:val="28"/>
          <w:szCs w:val="24"/>
        </w:rPr>
      </w:pPr>
      <w:r w:rsidRPr="00AF3D7F">
        <w:rPr>
          <w:rFonts w:ascii="仿宋" w:eastAsia="仿宋" w:hAnsi="仿宋" w:cs="仿宋_GB2312"/>
          <w:sz w:val="28"/>
          <w:szCs w:val="24"/>
        </w:rPr>
        <w:t>本标准主要起草人员：</w:t>
      </w:r>
    </w:p>
    <w:p w14:paraId="5ACA716E" w14:textId="25E4C4D0" w:rsidR="00B65B63" w:rsidRPr="00AF3D7F" w:rsidRDefault="00B65B63" w:rsidP="00B65B63">
      <w:pPr>
        <w:ind w:firstLine="480"/>
        <w:rPr>
          <w:rFonts w:ascii="仿宋" w:eastAsia="仿宋" w:hAnsi="仿宋" w:cs="仿宋_GB2312"/>
          <w:sz w:val="28"/>
          <w:szCs w:val="24"/>
        </w:rPr>
      </w:pPr>
      <w:r w:rsidRPr="00AF3D7F">
        <w:rPr>
          <w:rFonts w:ascii="仿宋" w:eastAsia="仿宋" w:hAnsi="仿宋" w:cs="仿宋_GB2312" w:hint="eastAsia"/>
          <w:sz w:val="28"/>
          <w:szCs w:val="24"/>
        </w:rPr>
        <w:t>人员分工：</w:t>
      </w:r>
    </w:p>
    <w:p w14:paraId="67D5CBA5" w14:textId="77777777" w:rsidR="00B65B63" w:rsidRPr="00AF3D7F" w:rsidRDefault="00B65B63" w:rsidP="00B65B63">
      <w:pPr>
        <w:ind w:firstLine="420"/>
        <w:jc w:val="center"/>
        <w:rPr>
          <w:rFonts w:ascii="仿宋" w:eastAsia="仿宋" w:hAnsi="仿宋" w:cs="Times New Roman"/>
          <w:szCs w:val="21"/>
        </w:rPr>
      </w:pPr>
    </w:p>
    <w:p w14:paraId="26C2E031" w14:textId="0FF26B23" w:rsidR="004969E0" w:rsidRPr="00AF3D7F" w:rsidRDefault="004969E0" w:rsidP="004969E0">
      <w:pPr>
        <w:pStyle w:val="-1"/>
        <w:rPr>
          <w:rFonts w:ascii="仿宋" w:eastAsia="仿宋" w:hAnsi="仿宋"/>
        </w:rPr>
      </w:pPr>
    </w:p>
    <w:p w14:paraId="02161420" w14:textId="77777777" w:rsidR="00F659ED" w:rsidRPr="00AF3D7F" w:rsidRDefault="00A73164">
      <w:pPr>
        <w:pStyle w:val="aff"/>
        <w:adjustRightInd w:val="0"/>
        <w:snapToGrid w:val="0"/>
        <w:spacing w:beforeLines="100" w:before="312" w:afterLines="50" w:after="156" w:line="360" w:lineRule="auto"/>
        <w:ind w:firstLineChars="220" w:firstLine="707"/>
        <w:jc w:val="left"/>
        <w:rPr>
          <w:rFonts w:ascii="仿宋" w:eastAsia="仿宋" w:hAnsi="仿宋" w:cs="Times New Roman"/>
        </w:rPr>
      </w:pPr>
      <w:bookmarkStart w:id="20" w:name="_Toc29520"/>
      <w:bookmarkStart w:id="21" w:name="_Toc3982"/>
      <w:bookmarkStart w:id="22" w:name="_Toc1273"/>
      <w:bookmarkStart w:id="23" w:name="_Toc8918"/>
      <w:r w:rsidRPr="00AF3D7F">
        <w:rPr>
          <w:rFonts w:ascii="仿宋" w:eastAsia="仿宋" w:hAnsi="仿宋" w:cs="Times New Roman"/>
        </w:rPr>
        <w:t>第二章 标准编制原则和确定主要内容的论据</w:t>
      </w:r>
      <w:bookmarkEnd w:id="20"/>
      <w:bookmarkEnd w:id="21"/>
      <w:bookmarkEnd w:id="22"/>
      <w:bookmarkEnd w:id="23"/>
    </w:p>
    <w:p w14:paraId="240EB611" w14:textId="77777777" w:rsidR="00F659ED" w:rsidRPr="00AF3D7F" w:rsidRDefault="00A73164">
      <w:pPr>
        <w:spacing w:beforeLines="50" w:before="156" w:afterLines="50" w:after="156" w:line="360" w:lineRule="auto"/>
        <w:ind w:firstLineChars="200" w:firstLine="602"/>
        <w:jc w:val="left"/>
        <w:rPr>
          <w:rFonts w:ascii="仿宋" w:eastAsia="仿宋" w:hAnsi="仿宋" w:cs="仿宋_GB2312"/>
          <w:b/>
          <w:bCs/>
          <w:sz w:val="30"/>
          <w:szCs w:val="30"/>
        </w:rPr>
      </w:pPr>
      <w:bookmarkStart w:id="24" w:name="_Toc4374"/>
      <w:bookmarkStart w:id="25" w:name="_Toc16988"/>
      <w:r w:rsidRPr="00AF3D7F">
        <w:rPr>
          <w:rFonts w:ascii="仿宋" w:eastAsia="仿宋" w:hAnsi="仿宋" w:cs="仿宋_GB2312" w:hint="eastAsia"/>
          <w:b/>
          <w:bCs/>
          <w:sz w:val="30"/>
          <w:szCs w:val="30"/>
        </w:rPr>
        <w:t>（一）标准编制的基本原则</w:t>
      </w:r>
      <w:bookmarkEnd w:id="24"/>
      <w:bookmarkEnd w:id="25"/>
    </w:p>
    <w:p w14:paraId="636B649F" w14:textId="515F1A52" w:rsidR="00F659ED" w:rsidRPr="00AF3D7F" w:rsidRDefault="00A73164">
      <w:pPr>
        <w:spacing w:line="360" w:lineRule="auto"/>
        <w:ind w:firstLineChars="200" w:firstLine="562"/>
        <w:jc w:val="left"/>
        <w:rPr>
          <w:rFonts w:ascii="仿宋" w:eastAsia="仿宋" w:hAnsi="仿宋" w:cs="仿宋_GB2312"/>
          <w:sz w:val="28"/>
          <w:szCs w:val="24"/>
        </w:rPr>
      </w:pPr>
      <w:r w:rsidRPr="00AF3D7F">
        <w:rPr>
          <w:rFonts w:ascii="仿宋" w:eastAsia="仿宋" w:hAnsi="仿宋" w:cs="仿宋_GB2312" w:hint="eastAsia"/>
          <w:b/>
          <w:bCs/>
          <w:sz w:val="28"/>
          <w:szCs w:val="24"/>
        </w:rPr>
        <w:t>1.</w:t>
      </w:r>
      <w:r w:rsidRPr="00AF3D7F">
        <w:rPr>
          <w:rFonts w:ascii="仿宋" w:eastAsia="仿宋" w:hAnsi="仿宋" w:cs="仿宋_GB2312" w:hint="eastAsia"/>
          <w:b/>
          <w:bCs/>
          <w:color w:val="000000"/>
          <w:sz w:val="28"/>
          <w:szCs w:val="24"/>
        </w:rPr>
        <w:t>保证场地资料完整性、</w:t>
      </w:r>
      <w:r w:rsidRPr="00AF3D7F">
        <w:rPr>
          <w:rFonts w:ascii="仿宋" w:eastAsia="仿宋" w:hAnsi="仿宋" w:cs="仿宋_GB2312" w:hint="eastAsia"/>
          <w:b/>
          <w:bCs/>
          <w:sz w:val="28"/>
          <w:szCs w:val="24"/>
        </w:rPr>
        <w:t>时效性</w:t>
      </w:r>
      <w:r w:rsidRPr="00AF3D7F">
        <w:rPr>
          <w:rFonts w:ascii="仿宋" w:eastAsia="仿宋" w:hAnsi="仿宋" w:cs="仿宋_GB2312" w:hint="eastAsia"/>
          <w:b/>
          <w:bCs/>
          <w:color w:val="000000"/>
          <w:sz w:val="28"/>
          <w:szCs w:val="24"/>
        </w:rPr>
        <w:t>、一致性、可信性</w:t>
      </w:r>
      <w:r w:rsidRPr="00AF3D7F">
        <w:rPr>
          <w:rFonts w:ascii="仿宋" w:eastAsia="仿宋" w:hAnsi="仿宋" w:cs="仿宋_GB2312" w:hint="eastAsia"/>
          <w:b/>
          <w:bCs/>
          <w:sz w:val="28"/>
          <w:szCs w:val="24"/>
        </w:rPr>
        <w:t>。</w:t>
      </w:r>
      <w:r w:rsidRPr="00AF3D7F">
        <w:rPr>
          <w:rFonts w:ascii="仿宋" w:eastAsia="仿宋" w:hAnsi="仿宋" w:cs="仿宋_GB2312" w:hint="eastAsia"/>
          <w:sz w:val="28"/>
          <w:szCs w:val="24"/>
        </w:rPr>
        <w:t>应将污染状况调查报告、水文地质勘察报告及污染风险评估报告等作为有色冶炼场地生态</w:t>
      </w:r>
      <w:r w:rsidR="00C64A93">
        <w:rPr>
          <w:rFonts w:ascii="仿宋" w:eastAsia="仿宋" w:hAnsi="仿宋" w:cs="仿宋_GB2312" w:hint="eastAsia"/>
          <w:sz w:val="28"/>
          <w:szCs w:val="24"/>
        </w:rPr>
        <w:t>重构</w:t>
      </w:r>
      <w:r w:rsidRPr="00AF3D7F">
        <w:rPr>
          <w:rFonts w:ascii="仿宋" w:eastAsia="仿宋" w:hAnsi="仿宋" w:cs="仿宋_GB2312" w:hint="eastAsia"/>
          <w:sz w:val="28"/>
          <w:szCs w:val="24"/>
        </w:rPr>
        <w:t>技术规范的基础。</w:t>
      </w:r>
    </w:p>
    <w:p w14:paraId="2A000C51" w14:textId="2D47DF51" w:rsidR="00F659ED" w:rsidRPr="00AF3D7F" w:rsidRDefault="00A73164">
      <w:pPr>
        <w:spacing w:line="360" w:lineRule="auto"/>
        <w:ind w:firstLineChars="200" w:firstLine="562"/>
        <w:jc w:val="left"/>
        <w:rPr>
          <w:rFonts w:ascii="仿宋" w:eastAsia="仿宋" w:hAnsi="仿宋" w:cs="仿宋_GB2312"/>
          <w:sz w:val="28"/>
          <w:szCs w:val="24"/>
        </w:rPr>
      </w:pPr>
      <w:r w:rsidRPr="00AF3D7F">
        <w:rPr>
          <w:rFonts w:ascii="仿宋" w:eastAsia="仿宋" w:hAnsi="仿宋" w:cs="仿宋_GB2312" w:hint="eastAsia"/>
          <w:b/>
          <w:bCs/>
          <w:sz w:val="28"/>
          <w:szCs w:val="24"/>
        </w:rPr>
        <w:t>2.突出重点，因地制宜，分类施策。</w:t>
      </w:r>
      <w:r w:rsidRPr="00AF3D7F">
        <w:rPr>
          <w:rFonts w:ascii="仿宋" w:eastAsia="仿宋" w:hAnsi="仿宋" w:cs="仿宋_GB2312" w:hint="eastAsia"/>
          <w:sz w:val="28"/>
          <w:szCs w:val="24"/>
        </w:rPr>
        <w:t>统筹考虑我国有色冶炼场地</w:t>
      </w:r>
      <w:r w:rsidR="006F065B" w:rsidRPr="00AF3D7F">
        <w:rPr>
          <w:rFonts w:ascii="仿宋" w:eastAsia="仿宋" w:hAnsi="仿宋" w:cs="仿宋_GB2312" w:hint="eastAsia"/>
          <w:sz w:val="28"/>
          <w:szCs w:val="24"/>
        </w:rPr>
        <w:t>污染及</w:t>
      </w:r>
      <w:r w:rsidRPr="00AF3D7F">
        <w:rPr>
          <w:rFonts w:ascii="仿宋" w:eastAsia="仿宋" w:hAnsi="仿宋" w:cs="仿宋_GB2312" w:hint="eastAsia"/>
          <w:sz w:val="28"/>
          <w:szCs w:val="24"/>
        </w:rPr>
        <w:t>生态问题的多样性、复杂性、多因性和地域性特征，工作部署体现</w:t>
      </w:r>
      <w:r w:rsidR="00834C51" w:rsidRPr="00AF3D7F">
        <w:rPr>
          <w:rFonts w:ascii="仿宋" w:eastAsia="仿宋" w:hAnsi="仿宋" w:cs="仿宋_GB2312" w:hint="eastAsia"/>
          <w:sz w:val="28"/>
          <w:szCs w:val="24"/>
        </w:rPr>
        <w:t>污染修复与生态恢复并行</w:t>
      </w:r>
      <w:r w:rsidRPr="00AF3D7F">
        <w:rPr>
          <w:rFonts w:ascii="仿宋" w:eastAsia="仿宋" w:hAnsi="仿宋" w:cs="仿宋_GB2312" w:hint="eastAsia"/>
          <w:sz w:val="28"/>
          <w:szCs w:val="24"/>
        </w:rPr>
        <w:t>，突出生态</w:t>
      </w:r>
      <w:r w:rsidR="00C64A93">
        <w:rPr>
          <w:rFonts w:ascii="仿宋" w:eastAsia="仿宋" w:hAnsi="仿宋" w:cs="仿宋_GB2312" w:hint="eastAsia"/>
          <w:sz w:val="28"/>
          <w:szCs w:val="24"/>
        </w:rPr>
        <w:t>重构</w:t>
      </w:r>
      <w:r w:rsidRPr="00AF3D7F">
        <w:rPr>
          <w:rFonts w:ascii="仿宋" w:eastAsia="仿宋" w:hAnsi="仿宋" w:cs="仿宋_GB2312" w:hint="eastAsia"/>
          <w:sz w:val="28"/>
          <w:szCs w:val="24"/>
        </w:rPr>
        <w:t>的区域完整性和系统性，因地制宜，分类施策。</w:t>
      </w:r>
    </w:p>
    <w:p w14:paraId="5EE5501F" w14:textId="562F35AC" w:rsidR="00F659ED" w:rsidRPr="00AF3D7F" w:rsidRDefault="00A73164">
      <w:pPr>
        <w:spacing w:line="360" w:lineRule="auto"/>
        <w:ind w:firstLineChars="200" w:firstLine="562"/>
        <w:jc w:val="left"/>
        <w:rPr>
          <w:rFonts w:ascii="仿宋" w:eastAsia="仿宋" w:hAnsi="仿宋" w:cs="仿宋_GB2312"/>
          <w:sz w:val="28"/>
          <w:szCs w:val="24"/>
        </w:rPr>
      </w:pPr>
      <w:r w:rsidRPr="00AF3D7F">
        <w:rPr>
          <w:rFonts w:ascii="仿宋" w:eastAsia="仿宋" w:hAnsi="仿宋" w:cs="仿宋_GB2312" w:hint="eastAsia"/>
          <w:b/>
          <w:bCs/>
          <w:sz w:val="28"/>
          <w:szCs w:val="24"/>
        </w:rPr>
        <w:t>3.尊重自然，顺应自然，合理选择修复模式。</w:t>
      </w:r>
      <w:r w:rsidRPr="00AF3D7F">
        <w:rPr>
          <w:rFonts w:ascii="仿宋" w:eastAsia="仿宋" w:hAnsi="仿宋" w:cs="仿宋_GB2312" w:hint="eastAsia"/>
          <w:sz w:val="28"/>
          <w:szCs w:val="24"/>
        </w:rPr>
        <w:t>采用科学的方法，以有色冶炼场地所在地地理位置、区域条件、环境功能要求、生态环境危</w:t>
      </w:r>
      <w:r w:rsidRPr="00AF3D7F">
        <w:rPr>
          <w:rFonts w:ascii="仿宋" w:eastAsia="仿宋" w:hAnsi="仿宋" w:cs="仿宋_GB2312" w:hint="eastAsia"/>
          <w:sz w:val="28"/>
          <w:szCs w:val="24"/>
        </w:rPr>
        <w:lastRenderedPageBreak/>
        <w:t>害程度和周边环境承载力为基础，</w:t>
      </w:r>
      <w:r w:rsidR="00834C51" w:rsidRPr="00AF3D7F">
        <w:rPr>
          <w:rFonts w:ascii="仿宋" w:eastAsia="仿宋" w:hAnsi="仿宋" w:cs="仿宋_GB2312" w:hint="eastAsia"/>
          <w:sz w:val="28"/>
          <w:szCs w:val="24"/>
        </w:rPr>
        <w:t>坚持“污染修复+生态</w:t>
      </w:r>
      <w:r w:rsidR="00C64A93">
        <w:rPr>
          <w:rFonts w:ascii="仿宋" w:eastAsia="仿宋" w:hAnsi="仿宋" w:cs="仿宋_GB2312" w:hint="eastAsia"/>
          <w:sz w:val="28"/>
          <w:szCs w:val="24"/>
        </w:rPr>
        <w:t>恢复</w:t>
      </w:r>
      <w:r w:rsidR="00834C51" w:rsidRPr="00AF3D7F">
        <w:rPr>
          <w:rFonts w:ascii="仿宋" w:eastAsia="仿宋" w:hAnsi="仿宋" w:cs="仿宋_GB2312" w:hint="eastAsia"/>
          <w:sz w:val="28"/>
          <w:szCs w:val="24"/>
        </w:rPr>
        <w:t>”协同的修复理念，</w:t>
      </w:r>
      <w:r w:rsidRPr="00AF3D7F">
        <w:rPr>
          <w:rFonts w:ascii="仿宋" w:eastAsia="仿宋" w:hAnsi="仿宋" w:cs="仿宋_GB2312" w:hint="eastAsia"/>
          <w:sz w:val="28"/>
          <w:szCs w:val="24"/>
        </w:rPr>
        <w:t>对有色冶炼场地因地制宜地开展生态</w:t>
      </w:r>
      <w:r w:rsidR="00C64A93">
        <w:rPr>
          <w:rFonts w:ascii="仿宋" w:eastAsia="仿宋" w:hAnsi="仿宋" w:cs="仿宋_GB2312" w:hint="eastAsia"/>
          <w:sz w:val="28"/>
          <w:szCs w:val="24"/>
        </w:rPr>
        <w:t>重构</w:t>
      </w:r>
      <w:r w:rsidRPr="00AF3D7F">
        <w:rPr>
          <w:rFonts w:ascii="仿宋" w:eastAsia="仿宋" w:hAnsi="仿宋" w:cs="仿宋_GB2312" w:hint="eastAsia"/>
          <w:sz w:val="28"/>
          <w:szCs w:val="24"/>
        </w:rPr>
        <w:t>，尊重生态系统自然演替恢复规律，确保周围景观相似性。</w:t>
      </w:r>
    </w:p>
    <w:p w14:paraId="1E3FA728" w14:textId="65A147F8" w:rsidR="00F659ED" w:rsidRPr="00AF3D7F" w:rsidRDefault="00A73164">
      <w:pPr>
        <w:spacing w:line="360" w:lineRule="auto"/>
        <w:ind w:firstLineChars="200" w:firstLine="562"/>
        <w:jc w:val="left"/>
        <w:rPr>
          <w:rFonts w:ascii="仿宋" w:eastAsia="仿宋" w:hAnsi="仿宋" w:cs="仿宋_GB2312"/>
          <w:sz w:val="28"/>
          <w:szCs w:val="24"/>
        </w:rPr>
      </w:pPr>
      <w:r w:rsidRPr="00AF3D7F">
        <w:rPr>
          <w:rFonts w:ascii="仿宋" w:eastAsia="仿宋" w:hAnsi="仿宋" w:cs="仿宋_GB2312" w:hint="eastAsia"/>
          <w:b/>
          <w:bCs/>
          <w:sz w:val="28"/>
          <w:szCs w:val="24"/>
        </w:rPr>
        <w:t>4.统筹规划，系统设计，修复后监测评价体系完整。</w:t>
      </w:r>
      <w:r w:rsidRPr="00AF3D7F">
        <w:rPr>
          <w:rFonts w:ascii="仿宋" w:eastAsia="仿宋" w:hAnsi="仿宋" w:cs="仿宋_GB2312" w:hint="eastAsia"/>
          <w:sz w:val="28"/>
          <w:szCs w:val="24"/>
        </w:rPr>
        <w:t>生态</w:t>
      </w:r>
      <w:r w:rsidR="00C64A93">
        <w:rPr>
          <w:rFonts w:ascii="仿宋" w:eastAsia="仿宋" w:hAnsi="仿宋" w:cs="仿宋_GB2312" w:hint="eastAsia"/>
          <w:sz w:val="28"/>
          <w:szCs w:val="24"/>
        </w:rPr>
        <w:t>重构</w:t>
      </w:r>
      <w:r w:rsidRPr="00AF3D7F">
        <w:rPr>
          <w:rFonts w:ascii="仿宋" w:eastAsia="仿宋" w:hAnsi="仿宋" w:cs="仿宋_GB2312" w:hint="eastAsia"/>
          <w:sz w:val="28"/>
          <w:szCs w:val="24"/>
        </w:rPr>
        <w:t>工程实施过程中，采取有效预防和保护措施，避免或减轻修复活动造成其他区域环境扰动，实现经济效益、环境效益和社会效益最大化，恢复治理后的有色冶炼场地应实现主体生态</w:t>
      </w:r>
      <w:r w:rsidR="00C64A93">
        <w:rPr>
          <w:rFonts w:ascii="仿宋" w:eastAsia="仿宋" w:hAnsi="仿宋" w:cs="仿宋_GB2312" w:hint="eastAsia"/>
          <w:sz w:val="28"/>
          <w:szCs w:val="24"/>
        </w:rPr>
        <w:t>重构</w:t>
      </w:r>
      <w:r w:rsidRPr="00AF3D7F">
        <w:rPr>
          <w:rFonts w:ascii="仿宋" w:eastAsia="仿宋" w:hAnsi="仿宋" w:cs="仿宋_GB2312" w:hint="eastAsia"/>
          <w:sz w:val="28"/>
          <w:szCs w:val="24"/>
        </w:rPr>
        <w:t>工程结构相对安全稳定，对周边人类和动植物不造成危害且不产生二次污染；基本恢复土壤基础功能</w:t>
      </w:r>
      <w:r w:rsidR="00D375E2" w:rsidRPr="00AF3D7F">
        <w:rPr>
          <w:rFonts w:ascii="仿宋" w:eastAsia="仿宋" w:hAnsi="仿宋" w:cs="仿宋_GB2312" w:hint="eastAsia"/>
          <w:sz w:val="28"/>
          <w:szCs w:val="24"/>
        </w:rPr>
        <w:t>及生态</w:t>
      </w:r>
      <w:r w:rsidRPr="00AF3D7F">
        <w:rPr>
          <w:rFonts w:ascii="仿宋" w:eastAsia="仿宋" w:hAnsi="仿宋" w:cs="仿宋_GB2312" w:hint="eastAsia"/>
          <w:sz w:val="28"/>
          <w:szCs w:val="24"/>
        </w:rPr>
        <w:t>。</w:t>
      </w:r>
    </w:p>
    <w:p w14:paraId="0AFC609B" w14:textId="77777777" w:rsidR="00F659ED" w:rsidRPr="00AF3D7F" w:rsidRDefault="00A73164">
      <w:pPr>
        <w:spacing w:beforeLines="50" w:before="156" w:afterLines="50" w:after="156" w:line="360" w:lineRule="auto"/>
        <w:ind w:firstLineChars="200" w:firstLine="602"/>
        <w:jc w:val="left"/>
        <w:rPr>
          <w:rFonts w:ascii="仿宋" w:eastAsia="仿宋" w:hAnsi="仿宋" w:cs="仿宋_GB2312"/>
          <w:b/>
          <w:bCs/>
          <w:sz w:val="30"/>
          <w:szCs w:val="30"/>
        </w:rPr>
      </w:pPr>
      <w:bookmarkStart w:id="26" w:name="_Toc6599"/>
      <w:r w:rsidRPr="00AF3D7F">
        <w:rPr>
          <w:rFonts w:ascii="仿宋" w:eastAsia="仿宋" w:hAnsi="仿宋" w:cs="仿宋_GB2312" w:hint="eastAsia"/>
          <w:b/>
          <w:bCs/>
          <w:sz w:val="30"/>
          <w:szCs w:val="30"/>
        </w:rPr>
        <w:t>（二）标准编制的目的任务</w:t>
      </w:r>
      <w:bookmarkEnd w:id="26"/>
    </w:p>
    <w:p w14:paraId="0F12E132" w14:textId="62A80981" w:rsidR="00F659ED" w:rsidRPr="00AF3D7F" w:rsidRDefault="00A73164">
      <w:pPr>
        <w:spacing w:line="480" w:lineRule="auto"/>
        <w:ind w:firstLineChars="200" w:firstLine="560"/>
        <w:rPr>
          <w:rFonts w:ascii="仿宋" w:eastAsia="仿宋" w:hAnsi="仿宋" w:cs="Times New Roman"/>
          <w:sz w:val="24"/>
          <w:szCs w:val="24"/>
        </w:rPr>
      </w:pPr>
      <w:r w:rsidRPr="00AF3D7F">
        <w:rPr>
          <w:rFonts w:ascii="仿宋" w:eastAsia="仿宋" w:hAnsi="仿宋" w:cs="仿宋_GB2312" w:hint="eastAsia"/>
          <w:sz w:val="28"/>
          <w:szCs w:val="28"/>
        </w:rPr>
        <w:t>本标准规定了有色冶炼场地</w:t>
      </w:r>
      <w:r w:rsidR="00C64A93">
        <w:rPr>
          <w:rFonts w:ascii="仿宋" w:eastAsia="仿宋" w:hAnsi="仿宋" w:cs="仿宋_GB2312" w:hint="eastAsia"/>
          <w:sz w:val="28"/>
          <w:szCs w:val="28"/>
        </w:rPr>
        <w:t>生态重构</w:t>
      </w:r>
      <w:r w:rsidRPr="00AF3D7F">
        <w:rPr>
          <w:rFonts w:ascii="仿宋" w:eastAsia="仿宋" w:hAnsi="仿宋" w:cs="仿宋_GB2312" w:hint="eastAsia"/>
          <w:sz w:val="28"/>
          <w:szCs w:val="28"/>
        </w:rPr>
        <w:t>的</w:t>
      </w:r>
      <w:r w:rsidR="00834C51" w:rsidRPr="00AF3D7F">
        <w:rPr>
          <w:rFonts w:ascii="仿宋" w:eastAsia="仿宋" w:hAnsi="仿宋" w:cs="仿宋_GB2312" w:hint="eastAsia"/>
          <w:sz w:val="28"/>
          <w:szCs w:val="28"/>
        </w:rPr>
        <w:t>前期</w:t>
      </w:r>
      <w:r w:rsidR="0091207F" w:rsidRPr="00AF3D7F">
        <w:rPr>
          <w:rFonts w:ascii="仿宋" w:eastAsia="仿宋" w:hAnsi="仿宋" w:cs="仿宋_GB2312" w:hint="eastAsia"/>
          <w:sz w:val="28"/>
          <w:szCs w:val="28"/>
        </w:rPr>
        <w:t>场地调查与评估</w:t>
      </w:r>
      <w:r w:rsidRPr="00AF3D7F">
        <w:rPr>
          <w:rFonts w:ascii="仿宋" w:eastAsia="仿宋" w:hAnsi="仿宋" w:cs="仿宋_GB2312" w:hint="eastAsia"/>
          <w:sz w:val="28"/>
          <w:szCs w:val="28"/>
        </w:rPr>
        <w:t>、</w:t>
      </w:r>
      <w:r w:rsidR="00C64A93">
        <w:rPr>
          <w:rFonts w:ascii="仿宋" w:eastAsia="仿宋" w:hAnsi="仿宋" w:cs="仿宋_GB2312" w:hint="eastAsia"/>
          <w:sz w:val="28"/>
          <w:szCs w:val="28"/>
        </w:rPr>
        <w:t>生态重构</w:t>
      </w:r>
      <w:r w:rsidRPr="00AF3D7F">
        <w:rPr>
          <w:rFonts w:ascii="仿宋" w:eastAsia="仿宋" w:hAnsi="仿宋" w:cs="仿宋_GB2312" w:hint="eastAsia"/>
          <w:sz w:val="28"/>
          <w:szCs w:val="28"/>
        </w:rPr>
        <w:t>方案编制、方案实施、监测与管护、成效评估等方面技术要求。目的是为加快推进</w:t>
      </w:r>
      <w:r w:rsidR="00C64A93">
        <w:rPr>
          <w:rFonts w:ascii="仿宋" w:eastAsia="仿宋" w:hAnsi="仿宋" w:cs="仿宋_GB2312" w:hint="eastAsia"/>
          <w:sz w:val="28"/>
          <w:szCs w:val="28"/>
        </w:rPr>
        <w:t>有色金属冶炼场地生态重构</w:t>
      </w:r>
      <w:r w:rsidRPr="00AF3D7F">
        <w:rPr>
          <w:rFonts w:ascii="仿宋" w:eastAsia="仿宋" w:hAnsi="仿宋" w:cs="仿宋_GB2312" w:hint="eastAsia"/>
          <w:sz w:val="28"/>
          <w:szCs w:val="28"/>
        </w:rPr>
        <w:t>工作，规范场地环境治理与</w:t>
      </w:r>
      <w:r w:rsidR="00C64A93">
        <w:rPr>
          <w:rFonts w:ascii="仿宋" w:eastAsia="仿宋" w:hAnsi="仿宋" w:cs="仿宋_GB2312" w:hint="eastAsia"/>
          <w:sz w:val="28"/>
          <w:szCs w:val="28"/>
        </w:rPr>
        <w:t>生态重构</w:t>
      </w:r>
      <w:r w:rsidRPr="00AF3D7F">
        <w:rPr>
          <w:rFonts w:ascii="仿宋" w:eastAsia="仿宋" w:hAnsi="仿宋" w:cs="仿宋_GB2312" w:hint="eastAsia"/>
          <w:sz w:val="28"/>
          <w:szCs w:val="28"/>
        </w:rPr>
        <w:t>技术方法和工作流程，提升有色冶炼场地生态保护工作的科学性和有效性。</w:t>
      </w:r>
    </w:p>
    <w:p w14:paraId="6255E832" w14:textId="7AE9D369" w:rsidR="00F659ED" w:rsidRPr="00AF3D7F" w:rsidRDefault="00A73164">
      <w:pPr>
        <w:spacing w:line="360" w:lineRule="auto"/>
        <w:ind w:firstLineChars="200" w:firstLine="560"/>
        <w:jc w:val="left"/>
        <w:rPr>
          <w:rFonts w:ascii="仿宋" w:eastAsia="仿宋" w:hAnsi="仿宋" w:cs="仿宋_GB2312"/>
          <w:sz w:val="28"/>
          <w:szCs w:val="28"/>
        </w:rPr>
      </w:pPr>
      <w:r w:rsidRPr="00AF3D7F">
        <w:rPr>
          <w:rFonts w:ascii="仿宋" w:eastAsia="仿宋" w:hAnsi="仿宋" w:cs="仿宋_GB2312" w:hint="eastAsia"/>
          <w:sz w:val="28"/>
          <w:szCs w:val="28"/>
        </w:rPr>
        <w:t>通过开展有色冶炼场地</w:t>
      </w:r>
      <w:r w:rsidR="00C64A93">
        <w:rPr>
          <w:rFonts w:ascii="仿宋" w:eastAsia="仿宋" w:hAnsi="仿宋" w:cs="仿宋_GB2312" w:hint="eastAsia"/>
          <w:sz w:val="28"/>
          <w:szCs w:val="28"/>
        </w:rPr>
        <w:t>生态重构</w:t>
      </w:r>
      <w:r w:rsidRPr="00AF3D7F">
        <w:rPr>
          <w:rFonts w:ascii="仿宋" w:eastAsia="仿宋" w:hAnsi="仿宋" w:cs="仿宋_GB2312" w:hint="eastAsia"/>
          <w:sz w:val="28"/>
          <w:szCs w:val="28"/>
        </w:rPr>
        <w:t>，对有色金属资源利用造成的冶炼场地生态破坏区域进行综合治理，消除威胁人民生命财产安全的地质安全隐患、改善水土环境、实施土地整治和植被恢复，使得因金属冶炼活动而破坏的区域生态系统得到改善，达到新的生态平衡。</w:t>
      </w:r>
    </w:p>
    <w:p w14:paraId="14B9A660" w14:textId="77777777" w:rsidR="00F659ED" w:rsidRPr="00AF3D7F" w:rsidRDefault="00A73164">
      <w:pPr>
        <w:spacing w:beforeLines="50" w:before="156" w:afterLines="50" w:after="156" w:line="360" w:lineRule="auto"/>
        <w:ind w:firstLineChars="200" w:firstLine="602"/>
        <w:jc w:val="left"/>
        <w:rPr>
          <w:rFonts w:ascii="仿宋" w:eastAsia="仿宋" w:hAnsi="仿宋" w:cs="仿宋_GB2312"/>
          <w:b/>
          <w:bCs/>
          <w:sz w:val="30"/>
          <w:szCs w:val="30"/>
        </w:rPr>
      </w:pPr>
      <w:bookmarkStart w:id="27" w:name="_Toc1482"/>
      <w:bookmarkStart w:id="28" w:name="_Toc3330"/>
      <w:r w:rsidRPr="00AF3D7F">
        <w:rPr>
          <w:rFonts w:ascii="仿宋" w:eastAsia="仿宋" w:hAnsi="仿宋" w:cs="仿宋_GB2312" w:hint="eastAsia"/>
          <w:b/>
          <w:bCs/>
          <w:sz w:val="30"/>
          <w:szCs w:val="30"/>
        </w:rPr>
        <w:t>（三）确定主要内容的论据</w:t>
      </w:r>
      <w:bookmarkEnd w:id="27"/>
      <w:bookmarkEnd w:id="28"/>
    </w:p>
    <w:p w14:paraId="31306D0B" w14:textId="451B5E52" w:rsidR="00F659ED" w:rsidRPr="00AF3D7F" w:rsidRDefault="00A73164">
      <w:pPr>
        <w:spacing w:line="360" w:lineRule="auto"/>
        <w:ind w:firstLineChars="200" w:firstLine="560"/>
        <w:jc w:val="left"/>
        <w:rPr>
          <w:rFonts w:ascii="仿宋" w:eastAsia="仿宋" w:hAnsi="仿宋" w:cs="仿宋_GB2312"/>
          <w:sz w:val="28"/>
          <w:szCs w:val="28"/>
        </w:rPr>
      </w:pPr>
      <w:r w:rsidRPr="00AF3D7F">
        <w:rPr>
          <w:rFonts w:ascii="仿宋" w:eastAsia="仿宋" w:hAnsi="仿宋" w:cs="仿宋_GB2312" w:hint="eastAsia"/>
          <w:sz w:val="28"/>
          <w:szCs w:val="28"/>
        </w:rPr>
        <w:t>生态环境是指影响人类生存与发展的水资源、土地资源、生物资源</w:t>
      </w:r>
      <w:r w:rsidRPr="00AF3D7F">
        <w:rPr>
          <w:rFonts w:ascii="仿宋" w:eastAsia="仿宋" w:hAnsi="仿宋" w:cs="仿宋_GB2312" w:hint="eastAsia"/>
          <w:sz w:val="28"/>
          <w:szCs w:val="28"/>
        </w:rPr>
        <w:lastRenderedPageBreak/>
        <w:t>以及气候资源数量与质量的总称，是关系到社会和经济持续发展的复合生态系统。作为“环境”“冶炼场地生态”“冶炼场地生态系统”等词的延伸，冶炼场地生态环境问题主要是有色金属资源利用活动中对整个有色冶炼场地生态系统造成的影响和破坏。有色冶炼场地</w:t>
      </w:r>
      <w:r w:rsidR="00C64A93">
        <w:rPr>
          <w:rFonts w:ascii="仿宋" w:eastAsia="仿宋" w:hAnsi="仿宋" w:cs="仿宋_GB2312" w:hint="eastAsia"/>
          <w:sz w:val="28"/>
          <w:szCs w:val="28"/>
        </w:rPr>
        <w:t>生态重构</w:t>
      </w:r>
      <w:r w:rsidRPr="00AF3D7F">
        <w:rPr>
          <w:rFonts w:ascii="仿宋" w:eastAsia="仿宋" w:hAnsi="仿宋" w:cs="仿宋_GB2312" w:hint="eastAsia"/>
          <w:sz w:val="28"/>
          <w:szCs w:val="28"/>
        </w:rPr>
        <w:t>是指通过多种生态环境修复手段，</w:t>
      </w:r>
      <w:r w:rsidR="0027403B" w:rsidRPr="00AF3D7F">
        <w:rPr>
          <w:rFonts w:ascii="仿宋" w:eastAsia="仿宋" w:hAnsi="仿宋" w:cs="仿宋_GB2312" w:hint="eastAsia"/>
          <w:sz w:val="28"/>
          <w:szCs w:val="28"/>
        </w:rPr>
        <w:t>稳定污染物进行风险管控的同时</w:t>
      </w:r>
      <w:r w:rsidRPr="00AF3D7F">
        <w:rPr>
          <w:rFonts w:ascii="仿宋" w:eastAsia="仿宋" w:hAnsi="仿宋" w:cs="仿宋_GB2312" w:hint="eastAsia"/>
          <w:sz w:val="28"/>
          <w:szCs w:val="28"/>
        </w:rPr>
        <w:t>对冶炼场地破坏的生态系统进行修复与重建。</w:t>
      </w:r>
    </w:p>
    <w:p w14:paraId="29D4135E" w14:textId="295B5090" w:rsidR="00F659ED" w:rsidRPr="00AF3D7F" w:rsidRDefault="00A73164">
      <w:pPr>
        <w:spacing w:line="360" w:lineRule="auto"/>
        <w:ind w:firstLineChars="200" w:firstLine="560"/>
        <w:jc w:val="left"/>
        <w:rPr>
          <w:rFonts w:ascii="仿宋" w:eastAsia="仿宋" w:hAnsi="仿宋" w:cs="仿宋_GB2312"/>
          <w:sz w:val="28"/>
          <w:szCs w:val="28"/>
        </w:rPr>
      </w:pPr>
      <w:r w:rsidRPr="00AF3D7F">
        <w:rPr>
          <w:rFonts w:ascii="仿宋" w:eastAsia="仿宋" w:hAnsi="仿宋" w:cs="仿宋_GB2312" w:hint="eastAsia"/>
          <w:sz w:val="28"/>
          <w:szCs w:val="28"/>
        </w:rPr>
        <w:t>所以，把因有色金属冶炼过程而破坏的生态系统作为一个整体，依据其周边区域生态功能重要性、人居环境与经济社会发展状况，综合考虑自然条件、</w:t>
      </w:r>
      <w:r w:rsidR="00764B2B" w:rsidRPr="00AF3D7F">
        <w:rPr>
          <w:rFonts w:ascii="仿宋" w:eastAsia="仿宋" w:hAnsi="仿宋" w:cs="仿宋_GB2312" w:hint="eastAsia"/>
          <w:sz w:val="28"/>
          <w:szCs w:val="28"/>
        </w:rPr>
        <w:t>环境健康风险</w:t>
      </w:r>
      <w:r w:rsidRPr="00AF3D7F">
        <w:rPr>
          <w:rFonts w:ascii="仿宋" w:eastAsia="仿宋" w:hAnsi="仿宋" w:cs="仿宋_GB2312" w:hint="eastAsia"/>
          <w:sz w:val="28"/>
          <w:szCs w:val="28"/>
        </w:rPr>
        <w:t>、生态污染问题及其危害等，坚持</w:t>
      </w:r>
      <w:r w:rsidR="00676C6A" w:rsidRPr="00AF3D7F">
        <w:rPr>
          <w:rFonts w:ascii="仿宋" w:eastAsia="仿宋" w:hAnsi="仿宋" w:cs="仿宋_GB2312" w:hint="eastAsia"/>
          <w:sz w:val="28"/>
          <w:szCs w:val="28"/>
        </w:rPr>
        <w:t>“</w:t>
      </w:r>
      <w:r w:rsidR="00F1001B" w:rsidRPr="00AF3D7F">
        <w:rPr>
          <w:rFonts w:ascii="仿宋" w:eastAsia="仿宋" w:hAnsi="仿宋" w:cs="仿宋_GB2312" w:hint="eastAsia"/>
          <w:sz w:val="28"/>
          <w:szCs w:val="28"/>
        </w:rPr>
        <w:t>污染修复</w:t>
      </w:r>
      <w:r w:rsidR="00676C6A" w:rsidRPr="00AF3D7F">
        <w:rPr>
          <w:rFonts w:ascii="仿宋" w:eastAsia="仿宋" w:hAnsi="仿宋" w:cs="仿宋_GB2312" w:hint="eastAsia"/>
          <w:sz w:val="28"/>
          <w:szCs w:val="28"/>
        </w:rPr>
        <w:t>+生态恢复”</w:t>
      </w:r>
      <w:r w:rsidR="00764B2B" w:rsidRPr="00AF3D7F">
        <w:rPr>
          <w:rFonts w:ascii="仿宋" w:eastAsia="仿宋" w:hAnsi="仿宋" w:cs="仿宋_GB2312" w:hint="eastAsia"/>
          <w:sz w:val="28"/>
          <w:szCs w:val="28"/>
        </w:rPr>
        <w:t>并行</w:t>
      </w:r>
      <w:r w:rsidRPr="00AF3D7F">
        <w:rPr>
          <w:rFonts w:ascii="仿宋" w:eastAsia="仿宋" w:hAnsi="仿宋" w:cs="仿宋_GB2312" w:hint="eastAsia"/>
          <w:sz w:val="28"/>
          <w:szCs w:val="28"/>
        </w:rPr>
        <w:t>理念，</w:t>
      </w:r>
      <w:r w:rsidRPr="00AF3D7F">
        <w:rPr>
          <w:rFonts w:ascii="仿宋" w:eastAsia="仿宋" w:hAnsi="仿宋" w:cs="仿宋_GB2312" w:hint="eastAsia"/>
          <w:sz w:val="28"/>
          <w:szCs w:val="24"/>
        </w:rPr>
        <w:t>统筹考虑我国有色冶炼场地</w:t>
      </w:r>
      <w:r w:rsidR="00764B2B" w:rsidRPr="00AF3D7F">
        <w:rPr>
          <w:rFonts w:ascii="仿宋" w:eastAsia="仿宋" w:hAnsi="仿宋" w:cs="仿宋_GB2312" w:hint="eastAsia"/>
          <w:sz w:val="28"/>
          <w:szCs w:val="24"/>
        </w:rPr>
        <w:t>污染及</w:t>
      </w:r>
      <w:r w:rsidRPr="00AF3D7F">
        <w:rPr>
          <w:rFonts w:ascii="仿宋" w:eastAsia="仿宋" w:hAnsi="仿宋" w:cs="仿宋_GB2312" w:hint="eastAsia"/>
          <w:sz w:val="28"/>
          <w:szCs w:val="24"/>
        </w:rPr>
        <w:t>生态问题的多样性、复杂性、多因性</w:t>
      </w:r>
      <w:r w:rsidR="00764B2B" w:rsidRPr="00AF3D7F">
        <w:rPr>
          <w:rFonts w:ascii="仿宋" w:eastAsia="仿宋" w:hAnsi="仿宋" w:cs="仿宋_GB2312" w:hint="eastAsia"/>
          <w:sz w:val="28"/>
          <w:szCs w:val="24"/>
        </w:rPr>
        <w:t>等</w:t>
      </w:r>
      <w:r w:rsidRPr="00AF3D7F">
        <w:rPr>
          <w:rFonts w:ascii="仿宋" w:eastAsia="仿宋" w:hAnsi="仿宋" w:cs="仿宋_GB2312" w:hint="eastAsia"/>
          <w:sz w:val="28"/>
          <w:szCs w:val="24"/>
        </w:rPr>
        <w:t>特征，工作部署体现</w:t>
      </w:r>
      <w:r w:rsidR="007D0B80" w:rsidRPr="00AF3D7F">
        <w:rPr>
          <w:rFonts w:ascii="仿宋" w:eastAsia="仿宋" w:hAnsi="仿宋" w:cs="仿宋_GB2312" w:hint="eastAsia"/>
          <w:sz w:val="28"/>
          <w:szCs w:val="24"/>
        </w:rPr>
        <w:t>统筹规划</w:t>
      </w:r>
      <w:r w:rsidRPr="00AF3D7F">
        <w:rPr>
          <w:rFonts w:ascii="仿宋" w:eastAsia="仿宋" w:hAnsi="仿宋" w:cs="仿宋_GB2312" w:hint="eastAsia"/>
          <w:sz w:val="28"/>
          <w:szCs w:val="24"/>
        </w:rPr>
        <w:t>，突出</w:t>
      </w:r>
      <w:r w:rsidR="00201BEF" w:rsidRPr="00AF3D7F">
        <w:rPr>
          <w:rFonts w:ascii="仿宋" w:eastAsia="仿宋" w:hAnsi="仿宋" w:cs="仿宋_GB2312" w:hint="eastAsia"/>
          <w:sz w:val="28"/>
          <w:szCs w:val="24"/>
        </w:rPr>
        <w:t>污染风险管控的同时实现</w:t>
      </w:r>
      <w:r w:rsidRPr="00AF3D7F">
        <w:rPr>
          <w:rFonts w:ascii="仿宋" w:eastAsia="仿宋" w:hAnsi="仿宋" w:cs="仿宋_GB2312" w:hint="eastAsia"/>
          <w:sz w:val="28"/>
          <w:szCs w:val="24"/>
        </w:rPr>
        <w:t>生态</w:t>
      </w:r>
      <w:r w:rsidR="00C64A93">
        <w:rPr>
          <w:rFonts w:ascii="仿宋" w:eastAsia="仿宋" w:hAnsi="仿宋" w:cs="仿宋_GB2312" w:hint="eastAsia"/>
          <w:sz w:val="28"/>
          <w:szCs w:val="24"/>
        </w:rPr>
        <w:t>恢复</w:t>
      </w:r>
      <w:r w:rsidRPr="00AF3D7F">
        <w:rPr>
          <w:rFonts w:ascii="仿宋" w:eastAsia="仿宋" w:hAnsi="仿宋" w:cs="仿宋_GB2312" w:hint="eastAsia"/>
          <w:sz w:val="28"/>
          <w:szCs w:val="24"/>
        </w:rPr>
        <w:t>的区域完整性和系统性，因地制宜，分类施策</w:t>
      </w:r>
      <w:r w:rsidRPr="00AF3D7F">
        <w:rPr>
          <w:rFonts w:ascii="仿宋" w:eastAsia="仿宋" w:hAnsi="仿宋" w:cs="仿宋_GB2312" w:hint="eastAsia"/>
          <w:sz w:val="28"/>
          <w:szCs w:val="28"/>
        </w:rPr>
        <w:t>，需要科学推进有色冶炼场地</w:t>
      </w:r>
      <w:r w:rsidR="00C64A93">
        <w:rPr>
          <w:rFonts w:ascii="仿宋" w:eastAsia="仿宋" w:hAnsi="仿宋" w:cs="仿宋_GB2312" w:hint="eastAsia"/>
          <w:sz w:val="28"/>
          <w:szCs w:val="28"/>
        </w:rPr>
        <w:t>生态重构</w:t>
      </w:r>
      <w:r w:rsidRPr="00AF3D7F">
        <w:rPr>
          <w:rFonts w:ascii="仿宋" w:eastAsia="仿宋" w:hAnsi="仿宋" w:cs="仿宋_GB2312" w:hint="eastAsia"/>
          <w:sz w:val="28"/>
          <w:szCs w:val="28"/>
        </w:rPr>
        <w:t>有关标准的编制工作。</w:t>
      </w:r>
    </w:p>
    <w:p w14:paraId="47F7C4DB" w14:textId="671683E5" w:rsidR="00F659ED" w:rsidRPr="00AF3D7F" w:rsidRDefault="00A73164">
      <w:pPr>
        <w:spacing w:line="360" w:lineRule="auto"/>
        <w:ind w:firstLineChars="200" w:firstLine="560"/>
        <w:jc w:val="left"/>
        <w:rPr>
          <w:rFonts w:ascii="仿宋" w:eastAsia="仿宋" w:hAnsi="仿宋" w:cs="仿宋_GB2312"/>
          <w:sz w:val="28"/>
          <w:szCs w:val="28"/>
        </w:rPr>
      </w:pPr>
      <w:r w:rsidRPr="00AF3D7F">
        <w:rPr>
          <w:rFonts w:ascii="仿宋" w:eastAsia="仿宋" w:hAnsi="仿宋" w:cs="仿宋_GB2312" w:hint="eastAsia"/>
          <w:sz w:val="28"/>
          <w:szCs w:val="28"/>
        </w:rPr>
        <w:t>本</w:t>
      </w:r>
      <w:r w:rsidRPr="00AF3D7F">
        <w:rPr>
          <w:rFonts w:ascii="仿宋" w:eastAsia="仿宋" w:hAnsi="仿宋" w:cs="仿宋_GB2312" w:hint="eastAsia"/>
          <w:sz w:val="28"/>
          <w:szCs w:val="24"/>
        </w:rPr>
        <w:t>有色冶炼场地</w:t>
      </w:r>
      <w:r w:rsidRPr="00AF3D7F">
        <w:rPr>
          <w:rFonts w:ascii="仿宋" w:eastAsia="仿宋" w:hAnsi="仿宋" w:cs="仿宋_GB2312" w:hint="eastAsia"/>
          <w:sz w:val="28"/>
          <w:szCs w:val="28"/>
        </w:rPr>
        <w:t>生态</w:t>
      </w:r>
      <w:r w:rsidR="00C64A93">
        <w:rPr>
          <w:rFonts w:ascii="仿宋" w:eastAsia="仿宋" w:hAnsi="仿宋" w:cs="仿宋_GB2312" w:hint="eastAsia"/>
          <w:sz w:val="28"/>
          <w:szCs w:val="28"/>
        </w:rPr>
        <w:t>重构</w:t>
      </w:r>
      <w:r w:rsidRPr="00AF3D7F">
        <w:rPr>
          <w:rFonts w:ascii="仿宋" w:eastAsia="仿宋" w:hAnsi="仿宋" w:cs="仿宋_GB2312" w:hint="eastAsia"/>
          <w:sz w:val="28"/>
          <w:szCs w:val="28"/>
        </w:rPr>
        <w:t>技术规范的主要内容包括：基本概况调查</w:t>
      </w:r>
      <w:r w:rsidR="00513249" w:rsidRPr="00AF3D7F">
        <w:rPr>
          <w:rFonts w:ascii="仿宋" w:eastAsia="仿宋" w:hAnsi="仿宋" w:cs="仿宋_GB2312" w:hint="eastAsia"/>
          <w:sz w:val="28"/>
          <w:szCs w:val="28"/>
        </w:rPr>
        <w:t>评估</w:t>
      </w:r>
      <w:r w:rsidRPr="00AF3D7F">
        <w:rPr>
          <w:rFonts w:ascii="仿宋" w:eastAsia="仿宋" w:hAnsi="仿宋" w:cs="仿宋_GB2312" w:hint="eastAsia"/>
          <w:sz w:val="28"/>
          <w:szCs w:val="28"/>
        </w:rPr>
        <w:t>、污染识别及风险评估、</w:t>
      </w:r>
      <w:r w:rsidR="00C64A93">
        <w:rPr>
          <w:rFonts w:ascii="仿宋" w:eastAsia="仿宋" w:hAnsi="仿宋" w:cs="仿宋_GB2312" w:hint="eastAsia"/>
          <w:sz w:val="28"/>
          <w:szCs w:val="28"/>
        </w:rPr>
        <w:t>生态重构</w:t>
      </w:r>
      <w:r w:rsidRPr="00AF3D7F">
        <w:rPr>
          <w:rFonts w:ascii="仿宋" w:eastAsia="仿宋" w:hAnsi="仿宋" w:cs="仿宋_GB2312" w:hint="eastAsia"/>
          <w:sz w:val="28"/>
          <w:szCs w:val="28"/>
        </w:rPr>
        <w:t>方案编制、方案实施、监测与管护、成效评估等方面技术要求等方面。</w:t>
      </w:r>
    </w:p>
    <w:p w14:paraId="0747D8E2" w14:textId="77777777" w:rsidR="00F659ED" w:rsidRPr="00AF3D7F" w:rsidRDefault="00A73164">
      <w:pPr>
        <w:spacing w:beforeLines="50" w:before="156" w:afterLines="50" w:after="156" w:line="360" w:lineRule="auto"/>
        <w:ind w:firstLineChars="200" w:firstLine="602"/>
        <w:jc w:val="left"/>
        <w:rPr>
          <w:rFonts w:ascii="仿宋" w:eastAsia="仿宋" w:hAnsi="仿宋" w:cs="仿宋_GB2312"/>
          <w:b/>
          <w:bCs/>
          <w:sz w:val="30"/>
          <w:szCs w:val="30"/>
        </w:rPr>
      </w:pPr>
      <w:bookmarkStart w:id="29" w:name="_Toc11226"/>
      <w:r w:rsidRPr="00AF3D7F">
        <w:rPr>
          <w:rFonts w:ascii="仿宋" w:eastAsia="仿宋" w:hAnsi="仿宋" w:cs="仿宋_GB2312" w:hint="eastAsia"/>
          <w:b/>
          <w:bCs/>
          <w:sz w:val="30"/>
          <w:szCs w:val="30"/>
        </w:rPr>
        <w:t>（四）标准编制的技术路线</w:t>
      </w:r>
      <w:bookmarkEnd w:id="29"/>
    </w:p>
    <w:p w14:paraId="6A5808FA" w14:textId="77777777" w:rsidR="00F659ED" w:rsidRPr="00AF3D7F" w:rsidRDefault="00A73164">
      <w:pPr>
        <w:spacing w:line="360" w:lineRule="auto"/>
        <w:ind w:firstLineChars="200" w:firstLine="560"/>
        <w:jc w:val="left"/>
        <w:rPr>
          <w:rFonts w:ascii="仿宋" w:eastAsia="仿宋" w:hAnsi="仿宋" w:cs="仿宋_GB2312"/>
          <w:sz w:val="28"/>
          <w:szCs w:val="28"/>
          <w:lang w:val="zh-CN"/>
        </w:rPr>
      </w:pPr>
      <w:r w:rsidRPr="00AF3D7F">
        <w:rPr>
          <w:rFonts w:ascii="仿宋" w:eastAsia="仿宋" w:hAnsi="仿宋" w:cs="仿宋_GB2312" w:hint="eastAsia"/>
          <w:sz w:val="28"/>
          <w:szCs w:val="28"/>
        </w:rPr>
        <w:t>标准编制采取的主要技术路线如图1所示：</w:t>
      </w:r>
    </w:p>
    <w:p w14:paraId="4E5D4579" w14:textId="77777777" w:rsidR="00F659ED" w:rsidRPr="00AF3D7F" w:rsidRDefault="00A73164">
      <w:pPr>
        <w:spacing w:line="360" w:lineRule="auto"/>
        <w:jc w:val="left"/>
        <w:rPr>
          <w:rFonts w:ascii="仿宋" w:eastAsia="仿宋" w:hAnsi="仿宋" w:cs="Times New Roman"/>
          <w:color w:val="000000"/>
          <w:szCs w:val="21"/>
          <w:lang w:val="zh-CN"/>
        </w:rPr>
      </w:pPr>
      <w:r w:rsidRPr="00AF3D7F">
        <w:rPr>
          <w:rFonts w:ascii="仿宋" w:eastAsia="仿宋" w:hAnsi="仿宋" w:cs="Times New Roman"/>
          <w:noProof/>
          <w:sz w:val="24"/>
          <w:szCs w:val="24"/>
        </w:rPr>
        <w:lastRenderedPageBreak/>
        <mc:AlternateContent>
          <mc:Choice Requires="wpc">
            <w:drawing>
              <wp:inline distT="0" distB="0" distL="114300" distR="114300" wp14:anchorId="5BDCF483" wp14:editId="469D3B27">
                <wp:extent cx="5274310" cy="7300595"/>
                <wp:effectExtent l="5080" t="0" r="16510" b="1905"/>
                <wp:docPr id="50"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1" name="直线 54"/>
                        <wps:cNvCnPr/>
                        <wps:spPr>
                          <a:xfrm>
                            <a:off x="4862195" y="1433195"/>
                            <a:ext cx="635" cy="3173095"/>
                          </a:xfrm>
                          <a:prstGeom prst="line">
                            <a:avLst/>
                          </a:prstGeom>
                          <a:ln w="9525" cap="flat" cmpd="sng">
                            <a:solidFill>
                              <a:srgbClr val="000000"/>
                            </a:solidFill>
                            <a:prstDash val="solid"/>
                            <a:headEnd type="none" w="med" len="med"/>
                            <a:tailEnd type="none" w="med" len="med"/>
                          </a:ln>
                        </wps:spPr>
                        <wps:bodyPr/>
                      </wps:wsp>
                      <wps:wsp>
                        <wps:cNvPr id="52" name="文本框 55"/>
                        <wps:cNvSpPr txBox="1"/>
                        <wps:spPr>
                          <a:xfrm>
                            <a:off x="0" y="1169035"/>
                            <a:ext cx="1144905" cy="520700"/>
                          </a:xfrm>
                          <a:prstGeom prst="rect">
                            <a:avLst/>
                          </a:prstGeom>
                          <a:noFill/>
                          <a:ln w="9525" cap="flat" cmpd="sng">
                            <a:solidFill>
                              <a:srgbClr val="000000"/>
                            </a:solidFill>
                            <a:prstDash val="solid"/>
                            <a:miter/>
                            <a:headEnd type="none" w="med" len="med"/>
                            <a:tailEnd type="none" w="med" len="med"/>
                          </a:ln>
                        </wps:spPr>
                        <wps:txbx>
                          <w:txbxContent>
                            <w:p w14:paraId="5E46939A"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开展标准编制课题研究</w:t>
                              </w:r>
                            </w:p>
                          </w:txbxContent>
                        </wps:txbx>
                        <wps:bodyPr lIns="113620" tIns="56810" rIns="113620" bIns="56810" upright="1"/>
                      </wps:wsp>
                      <wps:wsp>
                        <wps:cNvPr id="53" name="文本框 56"/>
                        <wps:cNvSpPr txBox="1"/>
                        <wps:spPr>
                          <a:xfrm>
                            <a:off x="12065" y="3375660"/>
                            <a:ext cx="1170940" cy="505460"/>
                          </a:xfrm>
                          <a:prstGeom prst="rect">
                            <a:avLst/>
                          </a:prstGeom>
                          <a:noFill/>
                          <a:ln w="9525" cap="flat" cmpd="sng">
                            <a:solidFill>
                              <a:srgbClr val="000000"/>
                            </a:solidFill>
                            <a:prstDash val="solid"/>
                            <a:miter/>
                            <a:headEnd type="none" w="med" len="med"/>
                            <a:tailEnd type="none" w="med" len="med"/>
                          </a:ln>
                        </wps:spPr>
                        <wps:txbx>
                          <w:txbxContent>
                            <w:p w14:paraId="1DF6BF69"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规程编立项、报批、审查</w:t>
                              </w:r>
                            </w:p>
                          </w:txbxContent>
                        </wps:txbx>
                        <wps:bodyPr lIns="113620" tIns="56810" rIns="113620" bIns="56810" upright="1"/>
                      </wps:wsp>
                      <wps:wsp>
                        <wps:cNvPr id="54" name="文本框 57"/>
                        <wps:cNvSpPr txBox="1"/>
                        <wps:spPr>
                          <a:xfrm>
                            <a:off x="0" y="4430395"/>
                            <a:ext cx="1171575" cy="351155"/>
                          </a:xfrm>
                          <a:prstGeom prst="rect">
                            <a:avLst/>
                          </a:prstGeom>
                          <a:noFill/>
                          <a:ln w="9525" cap="flat" cmpd="sng">
                            <a:solidFill>
                              <a:srgbClr val="000000"/>
                            </a:solidFill>
                            <a:prstDash val="solid"/>
                            <a:miter/>
                            <a:headEnd type="none" w="med" len="med"/>
                            <a:tailEnd type="none" w="med" len="med"/>
                          </a:ln>
                        </wps:spPr>
                        <wps:txbx>
                          <w:txbxContent>
                            <w:p w14:paraId="63E4FF10"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形成标准初稿</w:t>
                              </w:r>
                            </w:p>
                            <w:p w14:paraId="631A01D2" w14:textId="77777777" w:rsidR="00F659ED" w:rsidRDefault="00F659ED">
                              <w:pPr>
                                <w:autoSpaceDE w:val="0"/>
                                <w:autoSpaceDN w:val="0"/>
                                <w:adjustRightInd w:val="0"/>
                                <w:jc w:val="center"/>
                                <w:rPr>
                                  <w:rFonts w:ascii="Arial" w:hAnsi="Arial" w:cs="宋体"/>
                                  <w:color w:val="000000"/>
                                  <w:szCs w:val="21"/>
                                  <w:lang w:val="zh-CN"/>
                                </w:rPr>
                              </w:pPr>
                            </w:p>
                          </w:txbxContent>
                        </wps:txbx>
                        <wps:bodyPr lIns="113620" tIns="56810" rIns="113620" bIns="56810" upright="1"/>
                      </wps:wsp>
                      <wps:wsp>
                        <wps:cNvPr id="55" name="文本框 58"/>
                        <wps:cNvSpPr txBox="1"/>
                        <wps:spPr>
                          <a:xfrm>
                            <a:off x="0" y="5368290"/>
                            <a:ext cx="1171575" cy="482600"/>
                          </a:xfrm>
                          <a:prstGeom prst="rect">
                            <a:avLst/>
                          </a:prstGeom>
                          <a:noFill/>
                          <a:ln w="9525" cap="flat" cmpd="sng">
                            <a:solidFill>
                              <a:srgbClr val="000000"/>
                            </a:solidFill>
                            <a:prstDash val="solid"/>
                            <a:miter/>
                            <a:headEnd type="none" w="med" len="med"/>
                            <a:tailEnd type="none" w="med" len="med"/>
                          </a:ln>
                        </wps:spPr>
                        <wps:txbx>
                          <w:txbxContent>
                            <w:p w14:paraId="5181DF83"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形成标准征求意见稿</w:t>
                              </w:r>
                            </w:p>
                          </w:txbxContent>
                        </wps:txbx>
                        <wps:bodyPr lIns="113620" tIns="56810" rIns="113620" bIns="56810" upright="1"/>
                      </wps:wsp>
                      <wps:wsp>
                        <wps:cNvPr id="56" name="文本框 59"/>
                        <wps:cNvSpPr txBox="1"/>
                        <wps:spPr>
                          <a:xfrm>
                            <a:off x="1874520" y="15240"/>
                            <a:ext cx="2051050" cy="499110"/>
                          </a:xfrm>
                          <a:prstGeom prst="rect">
                            <a:avLst/>
                          </a:prstGeom>
                          <a:noFill/>
                          <a:ln w="9525" cap="flat" cmpd="sng">
                            <a:solidFill>
                              <a:srgbClr val="000000"/>
                            </a:solidFill>
                            <a:prstDash val="solid"/>
                            <a:miter/>
                            <a:headEnd type="none" w="med" len="med"/>
                            <a:tailEnd type="none" w="med" len="med"/>
                          </a:ln>
                        </wps:spPr>
                        <wps:txbx>
                          <w:txbxContent>
                            <w:p w14:paraId="0868636A"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研究分析标准化文件编制的相关规定和要求</w:t>
                              </w:r>
                            </w:p>
                          </w:txbxContent>
                        </wps:txbx>
                        <wps:bodyPr lIns="113620" tIns="56810" rIns="113620" bIns="56810" upright="1"/>
                      </wps:wsp>
                      <wps:wsp>
                        <wps:cNvPr id="57" name="文本框 60"/>
                        <wps:cNvSpPr txBox="1"/>
                        <wps:spPr>
                          <a:xfrm>
                            <a:off x="1874520" y="588645"/>
                            <a:ext cx="2051050" cy="510540"/>
                          </a:xfrm>
                          <a:prstGeom prst="rect">
                            <a:avLst/>
                          </a:prstGeom>
                          <a:noFill/>
                          <a:ln w="9525" cap="flat" cmpd="sng">
                            <a:solidFill>
                              <a:srgbClr val="000000"/>
                            </a:solidFill>
                            <a:prstDash val="solid"/>
                            <a:miter/>
                            <a:headEnd type="none" w="med" len="med"/>
                            <a:tailEnd type="none" w="med" len="med"/>
                          </a:ln>
                        </wps:spPr>
                        <wps:txbx>
                          <w:txbxContent>
                            <w:p w14:paraId="3B496B03"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收集分析本专业相关的工程建设的质量控制资料与事例</w:t>
                              </w:r>
                            </w:p>
                          </w:txbxContent>
                        </wps:txbx>
                        <wps:bodyPr lIns="113620" tIns="56810" rIns="113620" bIns="56810" upright="1"/>
                      </wps:wsp>
                      <wps:wsp>
                        <wps:cNvPr id="58" name="文本框 61"/>
                        <wps:cNvSpPr txBox="1"/>
                        <wps:spPr>
                          <a:xfrm>
                            <a:off x="1874520" y="1193800"/>
                            <a:ext cx="2051050" cy="489585"/>
                          </a:xfrm>
                          <a:prstGeom prst="rect">
                            <a:avLst/>
                          </a:prstGeom>
                          <a:noFill/>
                          <a:ln w="9525" cap="flat" cmpd="sng">
                            <a:solidFill>
                              <a:srgbClr val="000000"/>
                            </a:solidFill>
                            <a:prstDash val="solid"/>
                            <a:miter/>
                            <a:headEnd type="none" w="med" len="med"/>
                            <a:tailEnd type="none" w="med" len="med"/>
                          </a:ln>
                        </wps:spPr>
                        <wps:txbx>
                          <w:txbxContent>
                            <w:p w14:paraId="7CF9E640"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研究分析相关行业质量控制的标准化文件</w:t>
                              </w:r>
                            </w:p>
                          </w:txbxContent>
                        </wps:txbx>
                        <wps:bodyPr lIns="113620" tIns="56810" rIns="113620" bIns="56810" upright="1"/>
                      </wps:wsp>
                      <wps:wsp>
                        <wps:cNvPr id="59" name="文本框 62"/>
                        <wps:cNvSpPr txBox="1"/>
                        <wps:spPr>
                          <a:xfrm>
                            <a:off x="1874520" y="1746885"/>
                            <a:ext cx="2051050" cy="413385"/>
                          </a:xfrm>
                          <a:prstGeom prst="rect">
                            <a:avLst/>
                          </a:prstGeom>
                          <a:noFill/>
                          <a:ln w="9525" cap="flat" cmpd="sng">
                            <a:solidFill>
                              <a:srgbClr val="000000"/>
                            </a:solidFill>
                            <a:prstDash val="solid"/>
                            <a:miter/>
                            <a:headEnd type="none" w="med" len="med"/>
                            <a:tailEnd type="none" w="med" len="med"/>
                          </a:ln>
                        </wps:spPr>
                        <wps:txbx>
                          <w:txbxContent>
                            <w:p w14:paraId="070E15E4"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开展标准编制实地调研</w:t>
                              </w:r>
                            </w:p>
                          </w:txbxContent>
                        </wps:txbx>
                        <wps:bodyPr lIns="113620" tIns="56810" rIns="113620" bIns="56810" upright="1"/>
                      </wps:wsp>
                      <wps:wsp>
                        <wps:cNvPr id="60" name="文本框 63"/>
                        <wps:cNvSpPr txBox="1"/>
                        <wps:spPr>
                          <a:xfrm>
                            <a:off x="1874520" y="2269490"/>
                            <a:ext cx="2051050" cy="387985"/>
                          </a:xfrm>
                          <a:prstGeom prst="rect">
                            <a:avLst/>
                          </a:prstGeom>
                          <a:noFill/>
                          <a:ln w="9525" cap="flat" cmpd="sng">
                            <a:solidFill>
                              <a:srgbClr val="000000"/>
                            </a:solidFill>
                            <a:prstDash val="solid"/>
                            <a:miter/>
                            <a:headEnd type="none" w="med" len="med"/>
                            <a:tailEnd type="none" w="med" len="med"/>
                          </a:ln>
                        </wps:spPr>
                        <wps:txbx>
                          <w:txbxContent>
                            <w:p w14:paraId="6DA57568"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开展相关行业专题研究</w:t>
                              </w:r>
                            </w:p>
                            <w:p w14:paraId="7F95F9E8" w14:textId="77777777" w:rsidR="00F659ED" w:rsidRDefault="00F659ED">
                              <w:pPr>
                                <w:autoSpaceDE w:val="0"/>
                                <w:autoSpaceDN w:val="0"/>
                                <w:adjustRightInd w:val="0"/>
                                <w:jc w:val="center"/>
                                <w:rPr>
                                  <w:rFonts w:ascii="Arial" w:hAnsi="Arial" w:cs="宋体"/>
                                  <w:color w:val="000000"/>
                                  <w:szCs w:val="21"/>
                                  <w:lang w:val="zh-CN"/>
                                </w:rPr>
                              </w:pPr>
                            </w:p>
                          </w:txbxContent>
                        </wps:txbx>
                        <wps:bodyPr lIns="113620" tIns="56810" rIns="113620" bIns="56810" upright="1"/>
                      </wps:wsp>
                      <wps:wsp>
                        <wps:cNvPr id="61" name="文本框 64"/>
                        <wps:cNvSpPr txBox="1"/>
                        <wps:spPr>
                          <a:xfrm>
                            <a:off x="1874520" y="3018155"/>
                            <a:ext cx="2051050" cy="368300"/>
                          </a:xfrm>
                          <a:prstGeom prst="rect">
                            <a:avLst/>
                          </a:prstGeom>
                          <a:noFill/>
                          <a:ln w="9525" cap="flat" cmpd="sng">
                            <a:solidFill>
                              <a:srgbClr val="000000"/>
                            </a:solidFill>
                            <a:prstDash val="solid"/>
                            <a:miter/>
                            <a:headEnd type="none" w="med" len="med"/>
                            <a:tailEnd type="none" w="med" len="med"/>
                          </a:ln>
                        </wps:spPr>
                        <wps:txbx>
                          <w:txbxContent>
                            <w:p w14:paraId="40F3071A"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专家讨论</w:t>
                              </w:r>
                            </w:p>
                            <w:p w14:paraId="4664499C" w14:textId="77777777" w:rsidR="00F659ED" w:rsidRDefault="00F659ED">
                              <w:pPr>
                                <w:autoSpaceDE w:val="0"/>
                                <w:autoSpaceDN w:val="0"/>
                                <w:adjustRightInd w:val="0"/>
                                <w:jc w:val="center"/>
                                <w:rPr>
                                  <w:rFonts w:ascii="Arial" w:hAnsi="Arial" w:cs="宋体"/>
                                  <w:color w:val="000000"/>
                                  <w:szCs w:val="21"/>
                                  <w:lang w:val="zh-CN"/>
                                </w:rPr>
                              </w:pPr>
                            </w:p>
                          </w:txbxContent>
                        </wps:txbx>
                        <wps:bodyPr lIns="113620" tIns="56810" rIns="113620" bIns="56810" upright="1"/>
                      </wps:wsp>
                      <wps:wsp>
                        <wps:cNvPr id="62" name="文本框 65"/>
                        <wps:cNvSpPr txBox="1"/>
                        <wps:spPr>
                          <a:xfrm>
                            <a:off x="1874520" y="3535045"/>
                            <a:ext cx="2051050" cy="367665"/>
                          </a:xfrm>
                          <a:prstGeom prst="rect">
                            <a:avLst/>
                          </a:prstGeom>
                          <a:noFill/>
                          <a:ln w="9525" cap="flat" cmpd="sng">
                            <a:solidFill>
                              <a:srgbClr val="000000"/>
                            </a:solidFill>
                            <a:prstDash val="solid"/>
                            <a:miter/>
                            <a:headEnd type="none" w="med" len="med"/>
                            <a:tailEnd type="none" w="med" len="med"/>
                          </a:ln>
                        </wps:spPr>
                        <wps:txbx>
                          <w:txbxContent>
                            <w:p w14:paraId="1E680C2D"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全国范围征求意见</w:t>
                              </w:r>
                            </w:p>
                            <w:p w14:paraId="18A7E534" w14:textId="77777777" w:rsidR="00F659ED" w:rsidRDefault="00F659ED">
                              <w:pPr>
                                <w:autoSpaceDE w:val="0"/>
                                <w:autoSpaceDN w:val="0"/>
                                <w:adjustRightInd w:val="0"/>
                                <w:jc w:val="center"/>
                                <w:rPr>
                                  <w:rFonts w:ascii="Arial" w:hAnsi="Arial" w:cs="宋体"/>
                                  <w:color w:val="000000"/>
                                  <w:szCs w:val="21"/>
                                  <w:lang w:val="zh-CN"/>
                                </w:rPr>
                              </w:pPr>
                            </w:p>
                          </w:txbxContent>
                        </wps:txbx>
                        <wps:bodyPr lIns="113620" tIns="56810" rIns="113620" bIns="56810" upright="1"/>
                      </wps:wsp>
                      <wps:wsp>
                        <wps:cNvPr id="63" name="文本框 66"/>
                        <wps:cNvSpPr txBox="1"/>
                        <wps:spPr>
                          <a:xfrm>
                            <a:off x="1874520" y="4019550"/>
                            <a:ext cx="2051050" cy="368300"/>
                          </a:xfrm>
                          <a:prstGeom prst="rect">
                            <a:avLst/>
                          </a:prstGeom>
                          <a:noFill/>
                          <a:ln w="9525" cap="flat" cmpd="sng">
                            <a:solidFill>
                              <a:srgbClr val="000000"/>
                            </a:solidFill>
                            <a:prstDash val="solid"/>
                            <a:miter/>
                            <a:headEnd type="none" w="med" len="med"/>
                            <a:tailEnd type="none" w="med" len="med"/>
                          </a:ln>
                        </wps:spPr>
                        <wps:txbx>
                          <w:txbxContent>
                            <w:p w14:paraId="29C7FC6E"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课题评审</w:t>
                              </w:r>
                            </w:p>
                            <w:p w14:paraId="782BD80E" w14:textId="77777777" w:rsidR="00F659ED" w:rsidRDefault="00F659ED">
                              <w:pPr>
                                <w:autoSpaceDE w:val="0"/>
                                <w:autoSpaceDN w:val="0"/>
                                <w:adjustRightInd w:val="0"/>
                                <w:jc w:val="center"/>
                                <w:rPr>
                                  <w:rFonts w:ascii="Arial" w:hAnsi="Arial" w:cs="宋体"/>
                                  <w:color w:val="000000"/>
                                  <w:szCs w:val="21"/>
                                  <w:lang w:val="zh-CN"/>
                                </w:rPr>
                              </w:pPr>
                            </w:p>
                          </w:txbxContent>
                        </wps:txbx>
                        <wps:bodyPr lIns="113620" tIns="56810" rIns="113620" bIns="56810" upright="1"/>
                      </wps:wsp>
                      <wps:wsp>
                        <wps:cNvPr id="64" name="文本框 67"/>
                        <wps:cNvSpPr txBox="1"/>
                        <wps:spPr>
                          <a:xfrm>
                            <a:off x="1874520" y="4803775"/>
                            <a:ext cx="2051050" cy="340995"/>
                          </a:xfrm>
                          <a:prstGeom prst="rect">
                            <a:avLst/>
                          </a:prstGeom>
                          <a:noFill/>
                          <a:ln w="9525" cap="flat" cmpd="sng">
                            <a:solidFill>
                              <a:srgbClr val="000000"/>
                            </a:solidFill>
                            <a:prstDash val="solid"/>
                            <a:miter/>
                            <a:headEnd type="none" w="med" len="med"/>
                            <a:tailEnd type="none" w="med" len="med"/>
                          </a:ln>
                        </wps:spPr>
                        <wps:txbx>
                          <w:txbxContent>
                            <w:p w14:paraId="0F2E6A0C"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专家讨论</w:t>
                              </w:r>
                            </w:p>
                            <w:p w14:paraId="02A71240" w14:textId="77777777" w:rsidR="00F659ED" w:rsidRDefault="00F659ED">
                              <w:pPr>
                                <w:autoSpaceDE w:val="0"/>
                                <w:autoSpaceDN w:val="0"/>
                                <w:adjustRightInd w:val="0"/>
                                <w:jc w:val="center"/>
                                <w:rPr>
                                  <w:rFonts w:ascii="Arial" w:hAnsi="Arial" w:cs="宋体"/>
                                  <w:color w:val="000000"/>
                                  <w:szCs w:val="21"/>
                                  <w:lang w:val="zh-CN"/>
                                </w:rPr>
                              </w:pPr>
                            </w:p>
                          </w:txbxContent>
                        </wps:txbx>
                        <wps:bodyPr lIns="113620" tIns="56810" rIns="113620" bIns="56810" upright="1"/>
                      </wps:wsp>
                      <wps:wsp>
                        <wps:cNvPr id="65" name="文本框 68"/>
                        <wps:cNvSpPr txBox="1"/>
                        <wps:spPr>
                          <a:xfrm>
                            <a:off x="1869440" y="5285740"/>
                            <a:ext cx="2051050" cy="544830"/>
                          </a:xfrm>
                          <a:prstGeom prst="rect">
                            <a:avLst/>
                          </a:prstGeom>
                          <a:noFill/>
                          <a:ln w="9525" cap="flat" cmpd="sng">
                            <a:solidFill>
                              <a:srgbClr val="000000"/>
                            </a:solidFill>
                            <a:prstDash val="solid"/>
                            <a:miter/>
                            <a:headEnd type="none" w="med" len="med"/>
                            <a:tailEnd type="none" w="med" len="med"/>
                          </a:ln>
                        </wps:spPr>
                        <wps:txbx>
                          <w:txbxContent>
                            <w:p w14:paraId="1A3691F5"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企业、科研、教学、管理部门等相关单位广泛征求意见</w:t>
                              </w:r>
                            </w:p>
                            <w:p w14:paraId="3A8A2830" w14:textId="77777777" w:rsidR="00F659ED" w:rsidRDefault="00F659ED">
                              <w:pPr>
                                <w:autoSpaceDE w:val="0"/>
                                <w:autoSpaceDN w:val="0"/>
                                <w:adjustRightInd w:val="0"/>
                                <w:jc w:val="center"/>
                                <w:rPr>
                                  <w:rFonts w:ascii="Arial" w:hAnsi="Arial" w:cs="宋体"/>
                                  <w:color w:val="000000"/>
                                  <w:szCs w:val="21"/>
                                  <w:lang w:val="zh-CN"/>
                                </w:rPr>
                              </w:pPr>
                            </w:p>
                          </w:txbxContent>
                        </wps:txbx>
                        <wps:bodyPr lIns="113620" tIns="56810" rIns="113620" bIns="56810" upright="1"/>
                      </wps:wsp>
                      <wps:wsp>
                        <wps:cNvPr id="66" name="文本框 69"/>
                        <wps:cNvSpPr txBox="1"/>
                        <wps:spPr>
                          <a:xfrm>
                            <a:off x="1874520" y="6187440"/>
                            <a:ext cx="2051050" cy="368300"/>
                          </a:xfrm>
                          <a:prstGeom prst="rect">
                            <a:avLst/>
                          </a:prstGeom>
                          <a:noFill/>
                          <a:ln w="9525" cap="flat" cmpd="sng">
                            <a:solidFill>
                              <a:srgbClr val="000000"/>
                            </a:solidFill>
                            <a:prstDash val="solid"/>
                            <a:miter/>
                            <a:headEnd type="none" w="med" len="med"/>
                            <a:tailEnd type="none" w="med" len="med"/>
                          </a:ln>
                        </wps:spPr>
                        <wps:txbx>
                          <w:txbxContent>
                            <w:p w14:paraId="3AB20911"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形成规程送审稿</w:t>
                              </w:r>
                            </w:p>
                            <w:p w14:paraId="5B12A638" w14:textId="77777777" w:rsidR="00F659ED" w:rsidRDefault="00F659ED">
                              <w:pPr>
                                <w:autoSpaceDE w:val="0"/>
                                <w:autoSpaceDN w:val="0"/>
                                <w:adjustRightInd w:val="0"/>
                                <w:jc w:val="center"/>
                                <w:rPr>
                                  <w:rFonts w:ascii="Arial" w:hAnsi="Arial" w:cs="宋体"/>
                                  <w:color w:val="000000"/>
                                  <w:szCs w:val="21"/>
                                  <w:lang w:val="zh-CN"/>
                                </w:rPr>
                              </w:pPr>
                            </w:p>
                          </w:txbxContent>
                        </wps:txbx>
                        <wps:bodyPr lIns="113620" tIns="56810" rIns="113620" bIns="56810" upright="1"/>
                      </wps:wsp>
                      <wps:wsp>
                        <wps:cNvPr id="67" name="文本框 70"/>
                        <wps:cNvSpPr txBox="1"/>
                        <wps:spPr>
                          <a:xfrm>
                            <a:off x="1874520" y="6913245"/>
                            <a:ext cx="2051050" cy="344170"/>
                          </a:xfrm>
                          <a:prstGeom prst="rect">
                            <a:avLst/>
                          </a:prstGeom>
                          <a:noFill/>
                          <a:ln w="9525" cap="flat" cmpd="sng">
                            <a:solidFill>
                              <a:srgbClr val="000000"/>
                            </a:solidFill>
                            <a:prstDash val="solid"/>
                            <a:miter/>
                            <a:headEnd type="none" w="med" len="med"/>
                            <a:tailEnd type="none" w="med" len="med"/>
                          </a:ln>
                        </wps:spPr>
                        <wps:txbx>
                          <w:txbxContent>
                            <w:p w14:paraId="3A204E03"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形成标准报批稿</w:t>
                              </w:r>
                            </w:p>
                            <w:p w14:paraId="045DA5C8" w14:textId="77777777" w:rsidR="00F659ED" w:rsidRDefault="00F659ED">
                              <w:pPr>
                                <w:autoSpaceDE w:val="0"/>
                                <w:autoSpaceDN w:val="0"/>
                                <w:adjustRightInd w:val="0"/>
                                <w:jc w:val="center"/>
                                <w:rPr>
                                  <w:rFonts w:ascii="Arial" w:hAnsi="Arial" w:cs="宋体"/>
                                  <w:color w:val="000000"/>
                                  <w:szCs w:val="21"/>
                                  <w:lang w:val="zh-CN"/>
                                </w:rPr>
                              </w:pPr>
                            </w:p>
                          </w:txbxContent>
                        </wps:txbx>
                        <wps:bodyPr lIns="113620" tIns="56810" rIns="113620" bIns="56810" upright="1"/>
                      </wps:wsp>
                      <wps:wsp>
                        <wps:cNvPr id="68" name="文本框 71"/>
                        <wps:cNvSpPr txBox="1"/>
                        <wps:spPr>
                          <a:xfrm>
                            <a:off x="4452620" y="2672715"/>
                            <a:ext cx="821690" cy="35496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8A8E795"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编制标准</w:t>
                              </w:r>
                            </w:p>
                            <w:p w14:paraId="02C941F5" w14:textId="77777777" w:rsidR="00F659ED" w:rsidRDefault="00F659ED">
                              <w:pPr>
                                <w:autoSpaceDE w:val="0"/>
                                <w:autoSpaceDN w:val="0"/>
                                <w:adjustRightInd w:val="0"/>
                                <w:jc w:val="center"/>
                                <w:rPr>
                                  <w:rFonts w:ascii="Arial" w:hAnsi="Arial" w:cs="宋体"/>
                                  <w:color w:val="000000"/>
                                  <w:szCs w:val="21"/>
                                  <w:lang w:val="zh-CN"/>
                                </w:rPr>
                              </w:pPr>
                            </w:p>
                          </w:txbxContent>
                        </wps:txbx>
                        <wps:bodyPr lIns="113620" tIns="56810" rIns="113620" bIns="56810" upright="1"/>
                      </wps:wsp>
                      <wps:wsp>
                        <wps:cNvPr id="69" name="直线 72"/>
                        <wps:cNvCnPr/>
                        <wps:spPr>
                          <a:xfrm>
                            <a:off x="1150620" y="1434465"/>
                            <a:ext cx="313690" cy="635"/>
                          </a:xfrm>
                          <a:prstGeom prst="line">
                            <a:avLst/>
                          </a:prstGeom>
                          <a:ln w="9525" cap="flat" cmpd="sng">
                            <a:solidFill>
                              <a:srgbClr val="000000"/>
                            </a:solidFill>
                            <a:prstDash val="solid"/>
                            <a:headEnd type="none" w="med" len="med"/>
                            <a:tailEnd type="triangle" w="med" len="med"/>
                          </a:ln>
                        </wps:spPr>
                        <wps:bodyPr/>
                      </wps:wsp>
                      <wpg:wgp>
                        <wpg:cNvPr id="70" name="组合 73"/>
                        <wpg:cNvGrpSpPr/>
                        <wpg:grpSpPr>
                          <a:xfrm>
                            <a:off x="1464310" y="260350"/>
                            <a:ext cx="410210" cy="2199005"/>
                            <a:chOff x="1248" y="465"/>
                            <a:chExt cx="317" cy="1724"/>
                          </a:xfrm>
                        </wpg:grpSpPr>
                        <wps:wsp>
                          <wps:cNvPr id="71" name="直线 74"/>
                          <wps:cNvCnPr/>
                          <wps:spPr>
                            <a:xfrm>
                              <a:off x="1248" y="465"/>
                              <a:ext cx="0" cy="1723"/>
                            </a:xfrm>
                            <a:prstGeom prst="line">
                              <a:avLst/>
                            </a:prstGeom>
                            <a:ln w="9525" cap="flat" cmpd="sng">
                              <a:solidFill>
                                <a:srgbClr val="000000"/>
                              </a:solidFill>
                              <a:prstDash val="solid"/>
                              <a:headEnd type="none" w="med" len="med"/>
                              <a:tailEnd type="none" w="med" len="med"/>
                            </a:ln>
                          </wps:spPr>
                          <wps:bodyPr/>
                        </wps:wsp>
                        <wps:wsp>
                          <wps:cNvPr id="72" name="直线 75"/>
                          <wps:cNvCnPr/>
                          <wps:spPr>
                            <a:xfrm>
                              <a:off x="1248" y="465"/>
                              <a:ext cx="317" cy="0"/>
                            </a:xfrm>
                            <a:prstGeom prst="line">
                              <a:avLst/>
                            </a:prstGeom>
                            <a:ln w="9525" cap="flat" cmpd="sng">
                              <a:solidFill>
                                <a:srgbClr val="000000"/>
                              </a:solidFill>
                              <a:prstDash val="solid"/>
                              <a:headEnd type="none" w="med" len="med"/>
                              <a:tailEnd type="none" w="med" len="med"/>
                            </a:ln>
                          </wps:spPr>
                          <wps:bodyPr/>
                        </wps:wsp>
                        <wps:wsp>
                          <wps:cNvPr id="73" name="直线 76"/>
                          <wps:cNvCnPr/>
                          <wps:spPr>
                            <a:xfrm>
                              <a:off x="1248" y="1780"/>
                              <a:ext cx="317" cy="0"/>
                            </a:xfrm>
                            <a:prstGeom prst="line">
                              <a:avLst/>
                            </a:prstGeom>
                            <a:ln w="9525" cap="flat" cmpd="sng">
                              <a:solidFill>
                                <a:srgbClr val="000000"/>
                              </a:solidFill>
                              <a:prstDash val="solid"/>
                              <a:headEnd type="none" w="med" len="med"/>
                              <a:tailEnd type="none" w="med" len="med"/>
                            </a:ln>
                          </wps:spPr>
                          <wps:bodyPr/>
                        </wps:wsp>
                        <wps:wsp>
                          <wps:cNvPr id="74" name="直线 77"/>
                          <wps:cNvCnPr/>
                          <wps:spPr>
                            <a:xfrm>
                              <a:off x="1248" y="919"/>
                              <a:ext cx="317" cy="0"/>
                            </a:xfrm>
                            <a:prstGeom prst="line">
                              <a:avLst/>
                            </a:prstGeom>
                            <a:ln w="9525" cap="flat" cmpd="sng">
                              <a:solidFill>
                                <a:srgbClr val="000000"/>
                              </a:solidFill>
                              <a:prstDash val="solid"/>
                              <a:headEnd type="none" w="med" len="med"/>
                              <a:tailEnd type="none" w="med" len="med"/>
                            </a:ln>
                          </wps:spPr>
                          <wps:bodyPr/>
                        </wps:wsp>
                        <wps:wsp>
                          <wps:cNvPr id="75" name="直线 78"/>
                          <wps:cNvCnPr/>
                          <wps:spPr>
                            <a:xfrm>
                              <a:off x="1248" y="2189"/>
                              <a:ext cx="317" cy="0"/>
                            </a:xfrm>
                            <a:prstGeom prst="line">
                              <a:avLst/>
                            </a:prstGeom>
                            <a:ln w="9525" cap="flat" cmpd="sng">
                              <a:solidFill>
                                <a:srgbClr val="000000"/>
                              </a:solidFill>
                              <a:prstDash val="solid"/>
                              <a:headEnd type="none" w="med" len="med"/>
                              <a:tailEnd type="none" w="med" len="med"/>
                            </a:ln>
                          </wps:spPr>
                          <wps:bodyPr/>
                        </wps:wsp>
                      </wpg:wgp>
                      <wpg:wgp>
                        <wpg:cNvPr id="76" name="组合 79"/>
                        <wpg:cNvGrpSpPr/>
                        <wpg:grpSpPr>
                          <a:xfrm flipH="1">
                            <a:off x="3925570" y="280670"/>
                            <a:ext cx="411480" cy="2193290"/>
                            <a:chOff x="1248" y="465"/>
                            <a:chExt cx="317" cy="1724"/>
                          </a:xfrm>
                        </wpg:grpSpPr>
                        <wps:wsp>
                          <wps:cNvPr id="77" name="直线 80"/>
                          <wps:cNvCnPr/>
                          <wps:spPr>
                            <a:xfrm>
                              <a:off x="1248" y="465"/>
                              <a:ext cx="0" cy="1723"/>
                            </a:xfrm>
                            <a:prstGeom prst="line">
                              <a:avLst/>
                            </a:prstGeom>
                            <a:ln w="9525" cap="flat" cmpd="sng">
                              <a:solidFill>
                                <a:srgbClr val="000000"/>
                              </a:solidFill>
                              <a:prstDash val="solid"/>
                              <a:headEnd type="none" w="med" len="med"/>
                              <a:tailEnd type="none" w="med" len="med"/>
                            </a:ln>
                          </wps:spPr>
                          <wps:bodyPr/>
                        </wps:wsp>
                        <wps:wsp>
                          <wps:cNvPr id="78" name="直线 81"/>
                          <wps:cNvCnPr/>
                          <wps:spPr>
                            <a:xfrm>
                              <a:off x="1248" y="465"/>
                              <a:ext cx="317" cy="0"/>
                            </a:xfrm>
                            <a:prstGeom prst="line">
                              <a:avLst/>
                            </a:prstGeom>
                            <a:ln w="9525" cap="flat" cmpd="sng">
                              <a:solidFill>
                                <a:srgbClr val="000000"/>
                              </a:solidFill>
                              <a:prstDash val="solid"/>
                              <a:headEnd type="none" w="med" len="med"/>
                              <a:tailEnd type="none" w="med" len="med"/>
                            </a:ln>
                          </wps:spPr>
                          <wps:bodyPr/>
                        </wps:wsp>
                        <wps:wsp>
                          <wps:cNvPr id="79" name="直线 82"/>
                          <wps:cNvCnPr/>
                          <wps:spPr>
                            <a:xfrm>
                              <a:off x="1248" y="1780"/>
                              <a:ext cx="317" cy="0"/>
                            </a:xfrm>
                            <a:prstGeom prst="line">
                              <a:avLst/>
                            </a:prstGeom>
                            <a:ln w="9525" cap="flat" cmpd="sng">
                              <a:solidFill>
                                <a:srgbClr val="000000"/>
                              </a:solidFill>
                              <a:prstDash val="solid"/>
                              <a:headEnd type="none" w="med" len="med"/>
                              <a:tailEnd type="none" w="med" len="med"/>
                            </a:ln>
                          </wps:spPr>
                          <wps:bodyPr/>
                        </wps:wsp>
                        <wps:wsp>
                          <wps:cNvPr id="80" name="直线 83"/>
                          <wps:cNvCnPr/>
                          <wps:spPr>
                            <a:xfrm>
                              <a:off x="1248" y="919"/>
                              <a:ext cx="317" cy="0"/>
                            </a:xfrm>
                            <a:prstGeom prst="line">
                              <a:avLst/>
                            </a:prstGeom>
                            <a:ln w="9525" cap="flat" cmpd="sng">
                              <a:solidFill>
                                <a:srgbClr val="000000"/>
                              </a:solidFill>
                              <a:prstDash val="solid"/>
                              <a:headEnd type="none" w="med" len="med"/>
                              <a:tailEnd type="none" w="med" len="med"/>
                            </a:ln>
                          </wps:spPr>
                          <wps:bodyPr/>
                        </wps:wsp>
                        <wps:wsp>
                          <wps:cNvPr id="81" name="直线 84"/>
                          <wps:cNvCnPr/>
                          <wps:spPr>
                            <a:xfrm>
                              <a:off x="1248" y="2189"/>
                              <a:ext cx="317" cy="0"/>
                            </a:xfrm>
                            <a:prstGeom prst="line">
                              <a:avLst/>
                            </a:prstGeom>
                            <a:ln w="9525" cap="flat" cmpd="sng">
                              <a:solidFill>
                                <a:srgbClr val="000000"/>
                              </a:solidFill>
                              <a:prstDash val="solid"/>
                              <a:headEnd type="none" w="med" len="med"/>
                              <a:tailEnd type="none" w="med" len="med"/>
                            </a:ln>
                          </wps:spPr>
                          <wps:bodyPr/>
                        </wps:wsp>
                      </wpg:wgp>
                      <wps:wsp>
                        <wps:cNvPr id="82" name="直线 85"/>
                        <wps:cNvCnPr/>
                        <wps:spPr>
                          <a:xfrm>
                            <a:off x="3919855" y="1438910"/>
                            <a:ext cx="936625" cy="0"/>
                          </a:xfrm>
                          <a:prstGeom prst="line">
                            <a:avLst/>
                          </a:prstGeom>
                          <a:ln w="9525" cap="flat" cmpd="sng">
                            <a:solidFill>
                              <a:srgbClr val="000000"/>
                            </a:solidFill>
                            <a:prstDash val="solid"/>
                            <a:headEnd type="none" w="med" len="med"/>
                            <a:tailEnd type="none" w="med" len="med"/>
                          </a:ln>
                        </wps:spPr>
                        <wps:bodyPr/>
                      </wps:wsp>
                      <wps:wsp>
                        <wps:cNvPr id="83" name="直线 86"/>
                        <wps:cNvCnPr/>
                        <wps:spPr>
                          <a:xfrm>
                            <a:off x="1171575" y="4606290"/>
                            <a:ext cx="3690620" cy="0"/>
                          </a:xfrm>
                          <a:prstGeom prst="line">
                            <a:avLst/>
                          </a:prstGeom>
                          <a:ln w="9525" cap="flat" cmpd="sng">
                            <a:solidFill>
                              <a:srgbClr val="000000"/>
                            </a:solidFill>
                            <a:prstDash val="solid"/>
                            <a:headEnd type="triangle" w="med" len="med"/>
                            <a:tailEnd type="none" w="med" len="med"/>
                          </a:ln>
                        </wps:spPr>
                        <wps:bodyPr/>
                      </wps:wsp>
                      <wps:wsp>
                        <wps:cNvPr id="84" name="直线 87"/>
                        <wps:cNvCnPr/>
                        <wps:spPr>
                          <a:xfrm flipH="1">
                            <a:off x="4335145" y="3199765"/>
                            <a:ext cx="0" cy="995680"/>
                          </a:xfrm>
                          <a:prstGeom prst="line">
                            <a:avLst/>
                          </a:prstGeom>
                          <a:ln w="9525" cap="flat" cmpd="sng">
                            <a:solidFill>
                              <a:srgbClr val="000000"/>
                            </a:solidFill>
                            <a:prstDash val="solid"/>
                            <a:headEnd type="none" w="med" len="med"/>
                            <a:tailEnd type="none" w="med" len="med"/>
                          </a:ln>
                        </wps:spPr>
                        <wps:bodyPr/>
                      </wps:wsp>
                      <wps:wsp>
                        <wps:cNvPr id="85" name="直线 88"/>
                        <wps:cNvCnPr/>
                        <wps:spPr>
                          <a:xfrm flipH="1">
                            <a:off x="3925570" y="3199765"/>
                            <a:ext cx="411480" cy="0"/>
                          </a:xfrm>
                          <a:prstGeom prst="line">
                            <a:avLst/>
                          </a:prstGeom>
                          <a:ln w="9525" cap="flat" cmpd="sng">
                            <a:solidFill>
                              <a:srgbClr val="000000"/>
                            </a:solidFill>
                            <a:prstDash val="solid"/>
                            <a:headEnd type="none" w="med" len="med"/>
                            <a:tailEnd type="none" w="med" len="med"/>
                          </a:ln>
                        </wps:spPr>
                        <wps:bodyPr/>
                      </wps:wsp>
                      <wps:wsp>
                        <wps:cNvPr id="86" name="直线 89"/>
                        <wps:cNvCnPr/>
                        <wps:spPr>
                          <a:xfrm flipH="1">
                            <a:off x="3925570" y="4195445"/>
                            <a:ext cx="411480" cy="0"/>
                          </a:xfrm>
                          <a:prstGeom prst="line">
                            <a:avLst/>
                          </a:prstGeom>
                          <a:ln w="9525" cap="flat" cmpd="sng">
                            <a:solidFill>
                              <a:srgbClr val="000000"/>
                            </a:solidFill>
                            <a:prstDash val="solid"/>
                            <a:headEnd type="none" w="med" len="med"/>
                            <a:tailEnd type="none" w="med" len="med"/>
                          </a:ln>
                        </wps:spPr>
                        <wps:bodyPr/>
                      </wps:wsp>
                      <wps:wsp>
                        <wps:cNvPr id="87" name="直线 90"/>
                        <wps:cNvCnPr/>
                        <wps:spPr>
                          <a:xfrm flipH="1">
                            <a:off x="3925570" y="3726815"/>
                            <a:ext cx="936625" cy="0"/>
                          </a:xfrm>
                          <a:prstGeom prst="line">
                            <a:avLst/>
                          </a:prstGeom>
                          <a:ln w="9525" cap="flat" cmpd="sng">
                            <a:solidFill>
                              <a:srgbClr val="000000"/>
                            </a:solidFill>
                            <a:prstDash val="solid"/>
                            <a:headEnd type="triangle" w="med" len="med"/>
                            <a:tailEnd type="none" w="med" len="med"/>
                          </a:ln>
                        </wps:spPr>
                        <wps:bodyPr/>
                      </wps:wsp>
                      <wps:wsp>
                        <wps:cNvPr id="88" name="直线 91"/>
                        <wps:cNvCnPr/>
                        <wps:spPr>
                          <a:xfrm flipH="1">
                            <a:off x="1463675" y="1439545"/>
                            <a:ext cx="410845" cy="0"/>
                          </a:xfrm>
                          <a:prstGeom prst="line">
                            <a:avLst/>
                          </a:prstGeom>
                          <a:ln w="9525" cap="flat" cmpd="sng">
                            <a:solidFill>
                              <a:srgbClr val="000000"/>
                            </a:solidFill>
                            <a:prstDash val="solid"/>
                            <a:headEnd type="none" w="med" len="med"/>
                            <a:tailEnd type="none" w="med" len="med"/>
                          </a:ln>
                        </wps:spPr>
                        <wps:bodyPr/>
                      </wps:wsp>
                      <wps:wsp>
                        <wps:cNvPr id="89" name="直线 92"/>
                        <wps:cNvCnPr/>
                        <wps:spPr>
                          <a:xfrm>
                            <a:off x="2905760" y="5836285"/>
                            <a:ext cx="0" cy="351155"/>
                          </a:xfrm>
                          <a:prstGeom prst="line">
                            <a:avLst/>
                          </a:prstGeom>
                          <a:ln w="9525" cap="flat" cmpd="sng">
                            <a:solidFill>
                              <a:srgbClr val="000000"/>
                            </a:solidFill>
                            <a:prstDash val="solid"/>
                            <a:headEnd type="none" w="med" len="med"/>
                            <a:tailEnd type="triangle" w="med" len="med"/>
                          </a:ln>
                        </wps:spPr>
                        <wps:bodyPr/>
                      </wps:wsp>
                      <wps:wsp>
                        <wps:cNvPr id="90" name="直线 93"/>
                        <wps:cNvCnPr/>
                        <wps:spPr>
                          <a:xfrm>
                            <a:off x="2890520" y="6558280"/>
                            <a:ext cx="635" cy="367030"/>
                          </a:xfrm>
                          <a:prstGeom prst="line">
                            <a:avLst/>
                          </a:prstGeom>
                          <a:ln w="9525" cap="flat" cmpd="sng">
                            <a:solidFill>
                              <a:srgbClr val="000000"/>
                            </a:solidFill>
                            <a:prstDash val="solid"/>
                            <a:headEnd type="none" w="med" len="med"/>
                            <a:tailEnd type="triangle" w="med" len="med"/>
                          </a:ln>
                        </wps:spPr>
                        <wps:bodyPr/>
                      </wps:wsp>
                      <wps:wsp>
                        <wps:cNvPr id="91" name="直线 94"/>
                        <wps:cNvCnPr/>
                        <wps:spPr>
                          <a:xfrm>
                            <a:off x="585470" y="1694180"/>
                            <a:ext cx="635" cy="1681480"/>
                          </a:xfrm>
                          <a:prstGeom prst="line">
                            <a:avLst/>
                          </a:prstGeom>
                          <a:ln w="9525" cap="flat" cmpd="sng">
                            <a:solidFill>
                              <a:srgbClr val="000000"/>
                            </a:solidFill>
                            <a:prstDash val="solid"/>
                            <a:headEnd type="none" w="med" len="med"/>
                            <a:tailEnd type="triangle" w="med" len="med"/>
                          </a:ln>
                        </wps:spPr>
                        <wps:bodyPr/>
                      </wps:wsp>
                      <wps:wsp>
                        <wps:cNvPr id="92" name="直线 95"/>
                        <wps:cNvCnPr/>
                        <wps:spPr>
                          <a:xfrm>
                            <a:off x="585470" y="3881755"/>
                            <a:ext cx="635" cy="556260"/>
                          </a:xfrm>
                          <a:prstGeom prst="line">
                            <a:avLst/>
                          </a:prstGeom>
                          <a:ln w="9525" cap="flat" cmpd="sng">
                            <a:solidFill>
                              <a:srgbClr val="000000"/>
                            </a:solidFill>
                            <a:prstDash val="solid"/>
                            <a:headEnd type="none" w="med" len="med"/>
                            <a:tailEnd type="triangle" w="med" len="med"/>
                          </a:ln>
                        </wps:spPr>
                        <wps:bodyPr/>
                      </wps:wsp>
                      <wps:wsp>
                        <wps:cNvPr id="93" name="直线 96"/>
                        <wps:cNvCnPr/>
                        <wps:spPr>
                          <a:xfrm>
                            <a:off x="585470" y="4780915"/>
                            <a:ext cx="0" cy="586105"/>
                          </a:xfrm>
                          <a:prstGeom prst="line">
                            <a:avLst/>
                          </a:prstGeom>
                          <a:ln w="9525" cap="flat" cmpd="sng">
                            <a:solidFill>
                              <a:srgbClr val="000000"/>
                            </a:solidFill>
                            <a:prstDash val="solid"/>
                            <a:headEnd type="none" w="med" len="med"/>
                            <a:tailEnd type="triangle" w="med" len="med"/>
                          </a:ln>
                        </wps:spPr>
                        <wps:bodyPr/>
                      </wps:wsp>
                      <wps:wsp>
                        <wps:cNvPr id="94" name="直线 97"/>
                        <wps:cNvCnPr/>
                        <wps:spPr>
                          <a:xfrm flipH="1">
                            <a:off x="585470" y="4969510"/>
                            <a:ext cx="1289050" cy="0"/>
                          </a:xfrm>
                          <a:prstGeom prst="line">
                            <a:avLst/>
                          </a:prstGeom>
                          <a:ln w="9525" cap="flat" cmpd="sng">
                            <a:solidFill>
                              <a:srgbClr val="000000"/>
                            </a:solidFill>
                            <a:prstDash val="solid"/>
                            <a:headEnd type="none" w="med" len="med"/>
                            <a:tailEnd type="triangle" w="med" len="med"/>
                          </a:ln>
                        </wps:spPr>
                        <wps:bodyPr/>
                      </wps:wsp>
                      <wps:wsp>
                        <wps:cNvPr id="95" name="直线 98"/>
                        <wps:cNvCnPr/>
                        <wps:spPr>
                          <a:xfrm>
                            <a:off x="585470" y="5857875"/>
                            <a:ext cx="635" cy="153670"/>
                          </a:xfrm>
                          <a:prstGeom prst="line">
                            <a:avLst/>
                          </a:prstGeom>
                          <a:ln w="9525" cap="flat" cmpd="sng">
                            <a:solidFill>
                              <a:srgbClr val="000000"/>
                            </a:solidFill>
                            <a:prstDash val="solid"/>
                            <a:headEnd type="none" w="med" len="med"/>
                            <a:tailEnd type="none" w="med" len="med"/>
                          </a:ln>
                        </wps:spPr>
                        <wps:bodyPr/>
                      </wps:wsp>
                      <wps:wsp>
                        <wps:cNvPr id="96" name="直线 99"/>
                        <wps:cNvCnPr/>
                        <wps:spPr>
                          <a:xfrm>
                            <a:off x="585470" y="6011545"/>
                            <a:ext cx="2328545" cy="635"/>
                          </a:xfrm>
                          <a:prstGeom prst="line">
                            <a:avLst/>
                          </a:prstGeom>
                          <a:ln w="9525" cap="flat" cmpd="sng">
                            <a:solidFill>
                              <a:srgbClr val="000000"/>
                            </a:solidFill>
                            <a:prstDash val="solid"/>
                            <a:headEnd type="none" w="med" len="med"/>
                            <a:tailEnd type="triangle" w="med" len="med"/>
                          </a:ln>
                        </wps:spPr>
                        <wps:bodyPr/>
                      </wps:wsp>
                      <wps:wsp>
                        <wps:cNvPr id="97" name="文本框 100"/>
                        <wps:cNvSpPr txBox="1"/>
                        <wps:spPr>
                          <a:xfrm>
                            <a:off x="4237990" y="6426835"/>
                            <a:ext cx="821055" cy="5607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6AA4188"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主管部门评审</w:t>
                              </w:r>
                            </w:p>
                            <w:p w14:paraId="1CA0C238" w14:textId="77777777" w:rsidR="00F659ED" w:rsidRDefault="00F659ED">
                              <w:pPr>
                                <w:autoSpaceDE w:val="0"/>
                                <w:autoSpaceDN w:val="0"/>
                                <w:adjustRightInd w:val="0"/>
                                <w:jc w:val="center"/>
                                <w:rPr>
                                  <w:rFonts w:ascii="Arial" w:hAnsi="Arial" w:cs="宋体"/>
                                  <w:color w:val="000000"/>
                                  <w:szCs w:val="21"/>
                                  <w:lang w:val="zh-CN"/>
                                </w:rPr>
                              </w:pPr>
                            </w:p>
                          </w:txbxContent>
                        </wps:txbx>
                        <wps:bodyPr lIns="113620" tIns="56810" rIns="113620" bIns="56810" upright="1"/>
                      </wps:wsp>
                      <wps:wsp>
                        <wps:cNvPr id="98" name="直线 101"/>
                        <wps:cNvCnPr/>
                        <wps:spPr>
                          <a:xfrm flipH="1">
                            <a:off x="2895600" y="6715760"/>
                            <a:ext cx="1347470" cy="0"/>
                          </a:xfrm>
                          <a:prstGeom prst="line">
                            <a:avLst/>
                          </a:prstGeom>
                          <a:ln w="9525" cap="flat" cmpd="sng">
                            <a:solidFill>
                              <a:srgbClr val="000000"/>
                            </a:solidFill>
                            <a:prstDash val="solid"/>
                            <a:headEnd type="none" w="med" len="med"/>
                            <a:tailEnd type="triangle" w="med" len="med"/>
                          </a:ln>
                        </wps:spPr>
                        <wps:bodyPr/>
                      </wps:wsp>
                    </wpc:wpc>
                  </a:graphicData>
                </a:graphic>
              </wp:inline>
            </w:drawing>
          </mc:Choice>
          <mc:Fallback>
            <w:pict>
              <v:group w14:anchorId="5BDCF483" id="画布 52" o:spid="_x0000_s1026" editas="canvas" style="width:415.3pt;height:574.85pt;mso-position-horizontal-relative:char;mso-position-vertical-relative:line" coordsize="52743,73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43;height:73005;visibility:visible;mso-wrap-style:square">
                  <v:fill o:detectmouseclick="t"/>
                  <v:path o:connecttype="none"/>
                </v:shape>
                <v:line id="直线 54" o:spid="_x0000_s1028" style="position:absolute;visibility:visible;mso-wrap-style:square" from="48621,14331" to="48628,46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xfTxgAAANsAAAAPAAAAZHJzL2Rvd25yZXYueG1sRI9Ba8JA&#10;FITvBf/D8gq91Y2WBk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QgcX08YAAADbAAAA&#10;DwAAAAAAAAAAAAAAAAAHAgAAZHJzL2Rvd25yZXYueG1sUEsFBgAAAAADAAMAtwAAAPoCAAAAAA==&#10;"/>
                <v:shapetype id="_x0000_t202" coordsize="21600,21600" o:spt="202" path="m,l,21600r21600,l21600,xe">
                  <v:stroke joinstyle="miter"/>
                  <v:path gradientshapeok="t" o:connecttype="rect"/>
                </v:shapetype>
                <v:shape id="文本框 55" o:spid="_x0000_s1029" type="#_x0000_t202" style="position:absolute;top:11690;width:11449;height:5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" filled="f">
                  <v:textbox inset="3.15611mm,1.57806mm,3.15611mm,1.57806mm">
                    <w:txbxContent>
                      <w:p w14:paraId="5E46939A"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开展标准编制课题研究</w:t>
                        </w:r>
                      </w:p>
                    </w:txbxContent>
                  </v:textbox>
                </v:shape>
                <v:shape id="文本框 56" o:spid="_x0000_s1030" type="#_x0000_t202" style="position:absolute;left:120;top:33756;width:11710;height:50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" filled="f">
                  <v:textbox inset="3.15611mm,1.57806mm,3.15611mm,1.57806mm">
                    <w:txbxContent>
                      <w:p w14:paraId="1DF6BF69"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规程编立项、报批、审查</w:t>
                        </w:r>
                      </w:p>
                    </w:txbxContent>
                  </v:textbox>
                </v:shape>
                <v:shape id="文本框 57" o:spid="_x0000_s1031" type="#_x0000_t202" style="position:absolute;top:44303;width:11715;height:35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" filled="f">
                  <v:textbox inset="3.15611mm,1.57806mm,3.15611mm,1.57806mm">
                    <w:txbxContent>
                      <w:p w14:paraId="63E4FF10"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形成标准初稿</w:t>
                        </w:r>
                      </w:p>
                      <w:p w14:paraId="631A01D2" w14:textId="77777777" w:rsidR="00F659ED" w:rsidRDefault="00F659ED">
                        <w:pPr>
                          <w:autoSpaceDE w:val="0"/>
                          <w:autoSpaceDN w:val="0"/>
                          <w:adjustRightInd w:val="0"/>
                          <w:jc w:val="center"/>
                          <w:rPr>
                            <w:rFonts w:ascii="Arial" w:hAnsi="Arial" w:cs="宋体"/>
                            <w:color w:val="000000"/>
                            <w:szCs w:val="21"/>
                            <w:lang w:val="zh-CN"/>
                          </w:rPr>
                        </w:pPr>
                      </w:p>
                    </w:txbxContent>
                  </v:textbox>
                </v:shape>
                <v:shape id="文本框 58" o:spid="_x0000_s1032" type="#_x0000_t202" style="position:absolute;top:53682;width:11715;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" filled="f">
                  <v:textbox inset="3.15611mm,1.57806mm,3.15611mm,1.57806mm">
                    <w:txbxContent>
                      <w:p w14:paraId="5181DF83"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形成标准征求意见稿</w:t>
                        </w:r>
                      </w:p>
                    </w:txbxContent>
                  </v:textbox>
                </v:shape>
                <v:shape id="文本框 59" o:spid="_x0000_s1033" type="#_x0000_t202" style="position:absolute;left:18745;top:152;width:20510;height:4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" filled="f">
                  <v:textbox inset="3.15611mm,1.57806mm,3.15611mm,1.57806mm">
                    <w:txbxContent>
                      <w:p w14:paraId="0868636A"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研究分析标准化文件编制的相关规定和要求</w:t>
                        </w:r>
                      </w:p>
                    </w:txbxContent>
                  </v:textbox>
                </v:shape>
                <v:shape id="文本框 60" o:spid="_x0000_s1034" type="#_x0000_t202" style="position:absolute;left:18745;top:5886;width:20510;height:5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" filled="f">
                  <v:textbox inset="3.15611mm,1.57806mm,3.15611mm,1.57806mm">
                    <w:txbxContent>
                      <w:p w14:paraId="3B496B03"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收集分析本专业相关的工程建设的质量控制资料与事例</w:t>
                        </w:r>
                      </w:p>
                    </w:txbxContent>
                  </v:textbox>
                </v:shape>
                <v:shape id="文本框 61" o:spid="_x0000_s1035" type="#_x0000_t202" style="position:absolute;left:18745;top:11938;width:20510;height:4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" filled="f">
                  <v:textbox inset="3.15611mm,1.57806mm,3.15611mm,1.57806mm">
                    <w:txbxContent>
                      <w:p w14:paraId="7CF9E640"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研究分析相关行业质量控制的标准化文件</w:t>
                        </w:r>
                      </w:p>
                    </w:txbxContent>
                  </v:textbox>
                </v:shape>
                <v:shape id="文本框 62" o:spid="_x0000_s1036" type="#_x0000_t202" style="position:absolute;left:18745;top:17468;width:20510;height:4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" filled="f">
                  <v:textbox inset="3.15611mm,1.57806mm,3.15611mm,1.57806mm">
                    <w:txbxContent>
                      <w:p w14:paraId="070E15E4"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开展标准编制实地调研</w:t>
                        </w:r>
                      </w:p>
                    </w:txbxContent>
                  </v:textbox>
                </v:shape>
                <v:shape id="文本框 63" o:spid="_x0000_s1037" type="#_x0000_t202" style="position:absolute;left:18745;top:22694;width:20510;height:3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" filled="f">
                  <v:textbox inset="3.15611mm,1.57806mm,3.15611mm,1.57806mm">
                    <w:txbxContent>
                      <w:p w14:paraId="6DA57568"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开展相关行业专题研究</w:t>
                        </w:r>
                      </w:p>
                      <w:p w14:paraId="7F95F9E8" w14:textId="77777777" w:rsidR="00F659ED" w:rsidRDefault="00F659ED">
                        <w:pPr>
                          <w:autoSpaceDE w:val="0"/>
                          <w:autoSpaceDN w:val="0"/>
                          <w:adjustRightInd w:val="0"/>
                          <w:jc w:val="center"/>
                          <w:rPr>
                            <w:rFonts w:ascii="Arial" w:hAnsi="Arial" w:cs="宋体"/>
                            <w:color w:val="000000"/>
                            <w:szCs w:val="21"/>
                            <w:lang w:val="zh-CN"/>
                          </w:rPr>
                        </w:pPr>
                      </w:p>
                    </w:txbxContent>
                  </v:textbox>
                </v:shape>
                <v:shape id="文本框 64" o:spid="_x0000_s1038" type="#_x0000_t202" style="position:absolute;left:18745;top:30181;width:2051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" filled="f">
                  <v:textbox inset="3.15611mm,1.57806mm,3.15611mm,1.57806mm">
                    <w:txbxContent>
                      <w:p w14:paraId="40F3071A"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专家讨论</w:t>
                        </w:r>
                      </w:p>
                      <w:p w14:paraId="4664499C" w14:textId="77777777" w:rsidR="00F659ED" w:rsidRDefault="00F659ED">
                        <w:pPr>
                          <w:autoSpaceDE w:val="0"/>
                          <w:autoSpaceDN w:val="0"/>
                          <w:adjustRightInd w:val="0"/>
                          <w:jc w:val="center"/>
                          <w:rPr>
                            <w:rFonts w:ascii="Arial" w:hAnsi="Arial" w:cs="宋体"/>
                            <w:color w:val="000000"/>
                            <w:szCs w:val="21"/>
                            <w:lang w:val="zh-CN"/>
                          </w:rPr>
                        </w:pPr>
                      </w:p>
                    </w:txbxContent>
                  </v:textbox>
                </v:shape>
                <v:shape id="文本框 65" o:spid="_x0000_s1039" type="#_x0000_t202" style="position:absolute;left:18745;top:35350;width:20510;height:3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" filled="f">
                  <v:textbox inset="3.15611mm,1.57806mm,3.15611mm,1.57806mm">
                    <w:txbxContent>
                      <w:p w14:paraId="1E680C2D"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全国范围征求意见</w:t>
                        </w:r>
                      </w:p>
                      <w:p w14:paraId="18A7E534" w14:textId="77777777" w:rsidR="00F659ED" w:rsidRDefault="00F659ED">
                        <w:pPr>
                          <w:autoSpaceDE w:val="0"/>
                          <w:autoSpaceDN w:val="0"/>
                          <w:adjustRightInd w:val="0"/>
                          <w:jc w:val="center"/>
                          <w:rPr>
                            <w:rFonts w:ascii="Arial" w:hAnsi="Arial" w:cs="宋体"/>
                            <w:color w:val="000000"/>
                            <w:szCs w:val="21"/>
                            <w:lang w:val="zh-CN"/>
                          </w:rPr>
                        </w:pPr>
                      </w:p>
                    </w:txbxContent>
                  </v:textbox>
                </v:shape>
                <v:shape id="文本框 66" o:spid="_x0000_s1040" type="#_x0000_t202" style="position:absolute;left:18745;top:40195;width:2051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" filled="f">
                  <v:textbox inset="3.15611mm,1.57806mm,3.15611mm,1.57806mm">
                    <w:txbxContent>
                      <w:p w14:paraId="29C7FC6E"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课题评审</w:t>
                        </w:r>
                      </w:p>
                      <w:p w14:paraId="782BD80E" w14:textId="77777777" w:rsidR="00F659ED" w:rsidRDefault="00F659ED">
                        <w:pPr>
                          <w:autoSpaceDE w:val="0"/>
                          <w:autoSpaceDN w:val="0"/>
                          <w:adjustRightInd w:val="0"/>
                          <w:jc w:val="center"/>
                          <w:rPr>
                            <w:rFonts w:ascii="Arial" w:hAnsi="Arial" w:cs="宋体"/>
                            <w:color w:val="000000"/>
                            <w:szCs w:val="21"/>
                            <w:lang w:val="zh-CN"/>
                          </w:rPr>
                        </w:pPr>
                      </w:p>
                    </w:txbxContent>
                  </v:textbox>
                </v:shape>
                <v:shape id="文本框 67" o:spid="_x0000_s1041" type="#_x0000_t202" style="position:absolute;left:18745;top:48037;width:20510;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" filled="f">
                  <v:textbox inset="3.15611mm,1.57806mm,3.15611mm,1.57806mm">
                    <w:txbxContent>
                      <w:p w14:paraId="0F2E6A0C"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专家讨论</w:t>
                        </w:r>
                      </w:p>
                      <w:p w14:paraId="02A71240" w14:textId="77777777" w:rsidR="00F659ED" w:rsidRDefault="00F659ED">
                        <w:pPr>
                          <w:autoSpaceDE w:val="0"/>
                          <w:autoSpaceDN w:val="0"/>
                          <w:adjustRightInd w:val="0"/>
                          <w:jc w:val="center"/>
                          <w:rPr>
                            <w:rFonts w:ascii="Arial" w:hAnsi="Arial" w:cs="宋体"/>
                            <w:color w:val="000000"/>
                            <w:szCs w:val="21"/>
                            <w:lang w:val="zh-CN"/>
                          </w:rPr>
                        </w:pPr>
                      </w:p>
                    </w:txbxContent>
                  </v:textbox>
                </v:shape>
                <v:shape id="文本框 68" o:spid="_x0000_s1042" type="#_x0000_t202" style="position:absolute;left:18694;top:52857;width:20510;height:5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" filled="f">
                  <v:textbox inset="3.15611mm,1.57806mm,3.15611mm,1.57806mm">
                    <w:txbxContent>
                      <w:p w14:paraId="1A3691F5"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企业、科研、教学、管理部门等相关单位广泛征求意见</w:t>
                        </w:r>
                      </w:p>
                      <w:p w14:paraId="3A8A2830" w14:textId="77777777" w:rsidR="00F659ED" w:rsidRDefault="00F659ED">
                        <w:pPr>
                          <w:autoSpaceDE w:val="0"/>
                          <w:autoSpaceDN w:val="0"/>
                          <w:adjustRightInd w:val="0"/>
                          <w:jc w:val="center"/>
                          <w:rPr>
                            <w:rFonts w:ascii="Arial" w:hAnsi="Arial" w:cs="宋体"/>
                            <w:color w:val="000000"/>
                            <w:szCs w:val="21"/>
                            <w:lang w:val="zh-CN"/>
                          </w:rPr>
                        </w:pPr>
                      </w:p>
                    </w:txbxContent>
                  </v:textbox>
                </v:shape>
                <v:shape id="文本框 69" o:spid="_x0000_s1043" type="#_x0000_t202" style="position:absolute;left:18745;top:61874;width:2051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" filled="f">
                  <v:textbox inset="3.15611mm,1.57806mm,3.15611mm,1.57806mm">
                    <w:txbxContent>
                      <w:p w14:paraId="3AB20911"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形成规程送审稿</w:t>
                        </w:r>
                      </w:p>
                      <w:p w14:paraId="5B12A638" w14:textId="77777777" w:rsidR="00F659ED" w:rsidRDefault="00F659ED">
                        <w:pPr>
                          <w:autoSpaceDE w:val="0"/>
                          <w:autoSpaceDN w:val="0"/>
                          <w:adjustRightInd w:val="0"/>
                          <w:jc w:val="center"/>
                          <w:rPr>
                            <w:rFonts w:ascii="Arial" w:hAnsi="Arial" w:cs="宋体"/>
                            <w:color w:val="000000"/>
                            <w:szCs w:val="21"/>
                            <w:lang w:val="zh-CN"/>
                          </w:rPr>
                        </w:pPr>
                      </w:p>
                    </w:txbxContent>
                  </v:textbox>
                </v:shape>
                <v:shape id="文本框 70" o:spid="_x0000_s1044" type="#_x0000_t202" style="position:absolute;left:18745;top:69132;width:205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" filled="f">
                  <v:textbox inset="3.15611mm,1.57806mm,3.15611mm,1.57806mm">
                    <w:txbxContent>
                      <w:p w14:paraId="3A204E03"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形成标准报批稿</w:t>
                        </w:r>
                      </w:p>
                      <w:p w14:paraId="045DA5C8" w14:textId="77777777" w:rsidR="00F659ED" w:rsidRDefault="00F659ED">
                        <w:pPr>
                          <w:autoSpaceDE w:val="0"/>
                          <w:autoSpaceDN w:val="0"/>
                          <w:adjustRightInd w:val="0"/>
                          <w:jc w:val="center"/>
                          <w:rPr>
                            <w:rFonts w:ascii="Arial" w:hAnsi="Arial" w:cs="宋体"/>
                            <w:color w:val="000000"/>
                            <w:szCs w:val="21"/>
                            <w:lang w:val="zh-CN"/>
                          </w:rPr>
                        </w:pPr>
                      </w:p>
                    </w:txbxContent>
                  </v:textbox>
                </v:shape>
                <v:shape id="文本框 71" o:spid="_x0000_s1045" type="#_x0000_t202" style="position:absolute;left:44526;top:26727;width:8217;height:3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">
                  <v:textbox inset="3.15611mm,1.57806mm,3.15611mm,1.57806mm">
                    <w:txbxContent>
                      <w:p w14:paraId="78A8E795"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编制标准</w:t>
                        </w:r>
                      </w:p>
                      <w:p w14:paraId="02C941F5" w14:textId="77777777" w:rsidR="00F659ED" w:rsidRDefault="00F659ED">
                        <w:pPr>
                          <w:autoSpaceDE w:val="0"/>
                          <w:autoSpaceDN w:val="0"/>
                          <w:adjustRightInd w:val="0"/>
                          <w:jc w:val="center"/>
                          <w:rPr>
                            <w:rFonts w:ascii="Arial" w:hAnsi="Arial" w:cs="宋体"/>
                            <w:color w:val="000000"/>
                            <w:szCs w:val="21"/>
                            <w:lang w:val="zh-CN"/>
                          </w:rPr>
                        </w:pPr>
                      </w:p>
                    </w:txbxContent>
                  </v:textbox>
                </v:shape>
                <v:line id="直线 72" o:spid="_x0000_s1046" style="position:absolute;visibility:visible;mso-wrap-style:square" from="11506,14344" to="14643,14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">
                  <v:stroke endarrow="block"/>
                </v:line>
                <v:group id="组合 73" o:spid="_x0000_s1047" style="position:absolute;left:14643;top:2603;width:4102;height:21990" coordorigin="1248,465" coordsize="317,1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line id="直线 74" o:spid="_x0000_s1048" style="position:absolute;visibility:visible;mso-wrap-style:square" from="1248,465" to="1248,2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"/>
                  <v:line id="直线 75" o:spid="_x0000_s1049" style="position:absolute;visibility:visible;mso-wrap-style:square" from="1248,465" to="1565,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NXE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WDVxMYAAADbAAAA&#10;DwAAAAAAAAAAAAAAAAAHAgAAZHJzL2Rvd25yZXYueG1sUEsFBgAAAAADAAMAtwAAAPoCAAAAAA==&#10;"/>
                  <v:line id="直线 76" o:spid="_x0000_s1050" style="position:absolute;visibility:visible;mso-wrap-style:square" from="1248,1780" to="1565,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v:line id="直线 77" o:spid="_x0000_s1051" style="position:absolute;visibility:visible;mso-wrap-style:square" from="1248,919" to="1565,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v:line id="直线 78" o:spid="_x0000_s1052" style="position:absolute;visibility:visible;mso-wrap-style:square" from="1248,2189" to="1565,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v:group>
                <v:group id="组合 79" o:spid="_x0000_s1053" style="position:absolute;left:39255;top:2806;width:4115;height:21933;flip:x" coordorigin="1248,465" coordsize="317,1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">
                  <v:line id="直线 80" o:spid="_x0000_s1054" style="position:absolute;visibility:visible;mso-wrap-style:square" from="1248,465" to="1248,2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"/>
                  <v:line id="直线 81" o:spid="_x0000_s1055" style="position:absolute;visibility:visible;mso-wrap-style:square" from="1248,465" to="1565,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"/>
                  <v:line id="直线 82" o:spid="_x0000_s1056" style="position:absolute;visibility:visible;mso-wrap-style:square" from="1248,1780" to="1565,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"/>
                  <v:line id="直线 83" o:spid="_x0000_s1057" style="position:absolute;visibility:visible;mso-wrap-style:square" from="1248,919" to="1565,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"/>
                  <v:line id="直线 84" o:spid="_x0000_s1058" style="position:absolute;visibility:visible;mso-wrap-style:square" from="1248,2189" to="1565,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"/>
                </v:group>
                <v:line id="直线 85" o:spid="_x0000_s1059" style="position:absolute;visibility:visible;mso-wrap-style:square" from="39198,14389" to="48564,14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"/>
                <v:line id="直线 86" o:spid="_x0000_s1060" style="position:absolute;visibility:visible;mso-wrap-style:square" from="11715,46062" to="48621,46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">
                  <v:stroke startarrow="block"/>
                </v:line>
                <v:line id="直线 87" o:spid="_x0000_s1061" style="position:absolute;flip:x;visibility:visible;mso-wrap-style:square" from="43351,31997" to="43351,41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"/>
                <v:line id="直线 88" o:spid="_x0000_s1062" style="position:absolute;flip:x;visibility:visible;mso-wrap-style:square" from="39255,31997" to="43370,31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"/>
                <v:line id="直线 89" o:spid="_x0000_s1063" style="position:absolute;flip:x;visibility:visible;mso-wrap-style:square" from="39255,41954" to="43370,41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"/>
                <v:line id="直线 90" o:spid="_x0000_s1064" style="position:absolute;flip:x;visibility:visible;mso-wrap-style:square" from="39255,37268" to="48621,37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">
                  <v:stroke startarrow="block"/>
                </v:line>
                <v:line id="直线 91" o:spid="_x0000_s1065" style="position:absolute;flip:x;visibility:visible;mso-wrap-style:square" from="14636,14395" to="18745,14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"/>
                <v:line id="直线 92" o:spid="_x0000_s1066" style="position:absolute;visibility:visible;mso-wrap-style:square" from="29057,58362" to="29057,61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">
                  <v:stroke endarrow="block"/>
                </v:line>
                <v:line id="直线 93" o:spid="_x0000_s1067" style="position:absolute;visibility:visible;mso-wrap-style:square" from="28905,65582" to="28911,69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">
                  <v:stroke endarrow="block"/>
                </v:line>
                <v:line id="直线 94" o:spid="_x0000_s1068" style="position:absolute;visibility:visible;mso-wrap-style:square" from="5854,16941" to="5861,33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">
                  <v:stroke endarrow="block"/>
                </v:line>
                <v:line id="直线 95" o:spid="_x0000_s1069" style="position:absolute;visibility:visible;mso-wrap-style:square" from="5854,38817" to="5861,44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">
                  <v:stroke endarrow="block"/>
                </v:line>
                <v:line id="直线 96" o:spid="_x0000_s1070" style="position:absolute;visibility:visible;mso-wrap-style:square" from="5854,47809" to="5854,53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">
                  <v:stroke endarrow="block"/>
                </v:line>
                <v:line id="直线 97" o:spid="_x0000_s1071" style="position:absolute;flip:x;visibility:visible;mso-wrap-style:square" from="5854,49695" to="18745,49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">
                  <v:stroke endarrow="block"/>
                </v:line>
                <v:line id="直线 98" o:spid="_x0000_s1072" style="position:absolute;visibility:visible;mso-wrap-style:square" from="5854,58578" to="5861,601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"/>
                <v:line id="直线 99" o:spid="_x0000_s1073" style="position:absolute;visibility:visible;mso-wrap-style:square" from="5854,60115" to="29140,60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">
                  <v:stroke endarrow="block"/>
                </v:line>
                <v:shape id="文本框 100" o:spid="_x0000_s1074" type="#_x0000_t202" style="position:absolute;left:42379;top:64268;width:8211;height:5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">
                  <v:textbox inset="3.15611mm,1.57806mm,3.15611mm,1.57806mm">
                    <w:txbxContent>
                      <w:p w14:paraId="16AA4188" w14:textId="77777777" w:rsidR="00F659ED" w:rsidRDefault="00A73164">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主管部门评审</w:t>
                        </w:r>
                      </w:p>
                      <w:p w14:paraId="1CA0C238" w14:textId="77777777" w:rsidR="00F659ED" w:rsidRDefault="00F659ED">
                        <w:pPr>
                          <w:autoSpaceDE w:val="0"/>
                          <w:autoSpaceDN w:val="0"/>
                          <w:adjustRightInd w:val="0"/>
                          <w:jc w:val="center"/>
                          <w:rPr>
                            <w:rFonts w:ascii="Arial" w:hAnsi="Arial" w:cs="宋体"/>
                            <w:color w:val="000000"/>
                            <w:szCs w:val="21"/>
                            <w:lang w:val="zh-CN"/>
                          </w:rPr>
                        </w:pPr>
                      </w:p>
                    </w:txbxContent>
                  </v:textbox>
                </v:shape>
                <v:line id="直线 101" o:spid="_x0000_s1075" style="position:absolute;flip:x;visibility:visible;mso-wrap-style:square" from="28956,67157" to="42430,67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">
                  <v:stroke endarrow="block"/>
                </v:line>
                <w10:anchorlock/>
              </v:group>
            </w:pict>
          </mc:Fallback>
        </mc:AlternateContent>
      </w:r>
    </w:p>
    <w:p w14:paraId="6B3F06F3" w14:textId="77777777" w:rsidR="00F659ED" w:rsidRPr="00AF3D7F" w:rsidRDefault="00A73164">
      <w:pPr>
        <w:spacing w:line="360" w:lineRule="auto"/>
        <w:jc w:val="center"/>
        <w:rPr>
          <w:rFonts w:ascii="仿宋" w:eastAsia="仿宋" w:hAnsi="仿宋" w:cs="Times New Roman"/>
          <w:b/>
          <w:sz w:val="24"/>
          <w:szCs w:val="24"/>
        </w:rPr>
      </w:pPr>
      <w:r w:rsidRPr="00AF3D7F">
        <w:rPr>
          <w:rFonts w:ascii="仿宋" w:eastAsia="仿宋" w:hAnsi="仿宋" w:cs="Times New Roman"/>
          <w:b/>
          <w:sz w:val="24"/>
          <w:szCs w:val="24"/>
        </w:rPr>
        <w:t>图1 标准编制技术路线图</w:t>
      </w:r>
    </w:p>
    <w:p w14:paraId="6BFA89DE" w14:textId="77777777" w:rsidR="00F659ED" w:rsidRPr="00AF3D7F" w:rsidRDefault="00A73164">
      <w:pPr>
        <w:pStyle w:val="aff"/>
        <w:numPr>
          <w:ilvl w:val="0"/>
          <w:numId w:val="5"/>
        </w:numPr>
        <w:adjustRightInd w:val="0"/>
        <w:spacing w:before="0" w:after="0"/>
        <w:ind w:firstLineChars="200" w:firstLine="643"/>
        <w:jc w:val="left"/>
        <w:rPr>
          <w:rFonts w:ascii="仿宋" w:eastAsia="仿宋" w:hAnsi="仿宋" w:cs="Times New Roman"/>
        </w:rPr>
      </w:pPr>
      <w:bookmarkStart w:id="30" w:name="_Toc17733"/>
      <w:bookmarkStart w:id="31" w:name="_Toc16222"/>
      <w:bookmarkStart w:id="32" w:name="_Toc27852"/>
      <w:bookmarkStart w:id="33" w:name="_Toc390343063"/>
      <w:r w:rsidRPr="00AF3D7F">
        <w:rPr>
          <w:rFonts w:ascii="仿宋" w:eastAsia="仿宋" w:hAnsi="仿宋" w:cs="Times New Roman" w:hint="eastAsia"/>
        </w:rPr>
        <w:t>综述报告及预期效果</w:t>
      </w:r>
      <w:bookmarkEnd w:id="30"/>
    </w:p>
    <w:p w14:paraId="0587F194" w14:textId="059CA915" w:rsidR="00F659ED" w:rsidRPr="00AF3D7F" w:rsidRDefault="00A73164">
      <w:pPr>
        <w:spacing w:line="360" w:lineRule="auto"/>
        <w:ind w:firstLineChars="200" w:firstLine="560"/>
        <w:jc w:val="left"/>
        <w:rPr>
          <w:rFonts w:ascii="仿宋" w:eastAsia="仿宋" w:hAnsi="仿宋" w:cs="Times New Roman"/>
          <w:sz w:val="28"/>
          <w:szCs w:val="28"/>
        </w:rPr>
      </w:pPr>
      <w:r w:rsidRPr="00AF3D7F">
        <w:rPr>
          <w:rFonts w:ascii="仿宋" w:eastAsia="仿宋" w:hAnsi="仿宋" w:cs="Times New Roman" w:hint="eastAsia"/>
          <w:sz w:val="28"/>
          <w:szCs w:val="28"/>
        </w:rPr>
        <w:t>据2014年《全国土壤污染状况调查公报》，重污染企业用地、工业废弃地和采矿区土壤超标点位分别达到36.3%、34.9%和29.4%，且主要</w:t>
      </w:r>
      <w:r w:rsidRPr="00AF3D7F">
        <w:rPr>
          <w:rFonts w:ascii="仿宋" w:eastAsia="仿宋" w:hAnsi="仿宋" w:cs="Times New Roman" w:hint="eastAsia"/>
          <w:sz w:val="28"/>
          <w:szCs w:val="28"/>
        </w:rPr>
        <w:lastRenderedPageBreak/>
        <w:t>集中在有色冶炼行业。我国作为有色金属生产和消费大国，有色金属工业在推动国民经济发展的同时，也带来了严重的土壤污染问题。冶炼企业多数位于城市郊区，其影响区土壤环境质量关系到人群健康和土地资源再续利用，是制约社会经济可持续发展的关键因素。</w:t>
      </w:r>
      <w:r w:rsidR="00C64A93">
        <w:rPr>
          <w:rFonts w:ascii="仿宋" w:eastAsia="仿宋" w:hAnsi="仿宋" w:cs="Times New Roman" w:hint="eastAsia"/>
          <w:sz w:val="28"/>
          <w:szCs w:val="28"/>
        </w:rPr>
        <w:t>污染</w:t>
      </w:r>
      <w:r w:rsidRPr="00AF3D7F">
        <w:rPr>
          <w:rFonts w:ascii="仿宋" w:eastAsia="仿宋" w:hAnsi="仿宋" w:cs="Times New Roman" w:hint="eastAsia"/>
          <w:sz w:val="28"/>
          <w:szCs w:val="28"/>
        </w:rPr>
        <w:t>修复与环境风险管控，已成为我国有色冶炼工业可持续发展优先关注的焦点之一。</w:t>
      </w:r>
    </w:p>
    <w:p w14:paraId="4B4B6BD8" w14:textId="7121EB3D" w:rsidR="00F659ED" w:rsidRPr="00AF3D7F" w:rsidRDefault="00A73164">
      <w:pPr>
        <w:spacing w:line="360" w:lineRule="auto"/>
        <w:ind w:firstLineChars="200" w:firstLine="560"/>
        <w:jc w:val="left"/>
        <w:rPr>
          <w:rFonts w:ascii="仿宋" w:eastAsia="仿宋" w:hAnsi="仿宋" w:cs="Times New Roman"/>
          <w:sz w:val="28"/>
          <w:szCs w:val="28"/>
        </w:rPr>
      </w:pPr>
      <w:r w:rsidRPr="00AF3D7F">
        <w:rPr>
          <w:rFonts w:ascii="仿宋" w:eastAsia="仿宋" w:hAnsi="仿宋" w:cs="Times New Roman" w:hint="eastAsia"/>
          <w:sz w:val="28"/>
          <w:szCs w:val="28"/>
        </w:rPr>
        <w:t>科学有效推进有色冶炼场地</w:t>
      </w:r>
      <w:r w:rsidR="00C64A93">
        <w:rPr>
          <w:rFonts w:ascii="仿宋" w:eastAsia="仿宋" w:hAnsi="仿宋" w:cs="Times New Roman" w:hint="eastAsia"/>
          <w:sz w:val="28"/>
          <w:szCs w:val="28"/>
        </w:rPr>
        <w:t>生态重构</w:t>
      </w:r>
      <w:r w:rsidRPr="00AF3D7F">
        <w:rPr>
          <w:rFonts w:ascii="仿宋" w:eastAsia="仿宋" w:hAnsi="仿宋" w:cs="Times New Roman" w:hint="eastAsia"/>
          <w:sz w:val="28"/>
          <w:szCs w:val="28"/>
        </w:rPr>
        <w:t>工作，需要从多个层面着手，采用纵向视角科学探索有色冶炼区域生态保护修复过程中多种要素之间的内在联系，立足微观层面系统分析不同要素各自的典型特征，逐步实现对有色冶炼地区生态保护修复重点领域、核心环节与关键要素的整体把握，进而渐次完成对有色冶炼地区生态保护修复相关理论的凝练升华。其中首要工作就是从实践出发对有关有色冶炼区域生态保护修复重要技术标准等进行系统梳理与全面总结。</w:t>
      </w:r>
    </w:p>
    <w:p w14:paraId="27751656" w14:textId="77777777" w:rsidR="00F659ED" w:rsidRPr="00AF3D7F" w:rsidRDefault="00A73164">
      <w:pPr>
        <w:spacing w:line="360" w:lineRule="auto"/>
        <w:ind w:firstLineChars="200" w:firstLine="560"/>
        <w:jc w:val="left"/>
        <w:rPr>
          <w:rFonts w:ascii="仿宋" w:eastAsia="仿宋" w:hAnsi="仿宋" w:cs="Times New Roman"/>
          <w:sz w:val="28"/>
          <w:szCs w:val="28"/>
        </w:rPr>
      </w:pPr>
      <w:r w:rsidRPr="00AF3D7F">
        <w:rPr>
          <w:rFonts w:ascii="仿宋" w:eastAsia="仿宋" w:hAnsi="仿宋" w:cs="Times New Roman" w:hint="eastAsia"/>
          <w:sz w:val="28"/>
          <w:szCs w:val="28"/>
        </w:rPr>
        <w:t>据统计，有色金属冶炼地区生态保护修复领域的现行标准共68项，主要分布在生态环境部等相关部门。</w:t>
      </w:r>
    </w:p>
    <w:p w14:paraId="5D91B740" w14:textId="52371AAB" w:rsidR="00983D6F" w:rsidRPr="00983D6F" w:rsidRDefault="00983D6F">
      <w:pPr>
        <w:spacing w:line="360" w:lineRule="auto"/>
        <w:ind w:firstLineChars="200" w:firstLine="560"/>
        <w:jc w:val="left"/>
        <w:rPr>
          <w:rFonts w:ascii="仿宋" w:eastAsia="仿宋" w:hAnsi="仿宋" w:cs="Times New Roman"/>
          <w:sz w:val="28"/>
          <w:szCs w:val="28"/>
        </w:rPr>
      </w:pPr>
      <w:r w:rsidRPr="00AF3D7F">
        <w:rPr>
          <w:rFonts w:ascii="仿宋" w:eastAsia="仿宋" w:hAnsi="仿宋" w:cs="Times New Roman" w:hint="eastAsia"/>
          <w:sz w:val="28"/>
          <w:szCs w:val="28"/>
        </w:rPr>
        <w:t>生态环境部归口管理35项。按业务板块角度划分，可以分为“环境影响评价”、“污染场地综合治理”、“生态保护红线监管”、“生态环境损害鉴定评估”四个领域。其中，涉及“环境影响评价”的标准规范主要集中在建设项目、环境要素等方面的技术导则；涉及“污染场地综合治理”的标准规范主要集中在场地调查、监测、风险评估以及修复等方面的技术导则；涉及“生态保护红线”的标准规范主要集中在基础调查、生态状况监测、生态功能评价、保护成效评估、数据库建设等方面的技术规范；涉及“生态保护红线”的标准规范主要集中在关键环</w:t>
      </w:r>
      <w:r w:rsidRPr="00AF3D7F">
        <w:rPr>
          <w:rFonts w:ascii="仿宋" w:eastAsia="仿宋" w:hAnsi="仿宋" w:cs="Times New Roman" w:hint="eastAsia"/>
          <w:sz w:val="28"/>
          <w:szCs w:val="28"/>
        </w:rPr>
        <w:lastRenderedPageBreak/>
        <w:t>节、环境要素、基础方法等方面的技术指南。从技术路线角度分析，可以分为通用综合、调查监测、生产建设、修复治理、评价评估等五个类别。其中，除“环境影响评价”侧重评价以外，“污染场地综合治理”、“生态保护红线监管”、“生态环境损害鉴定评估”等在上述类别均有分布，相关标准体系日臻完善。此外对于有色冶炼行业排污方面，生态环境部批准</w:t>
      </w:r>
      <w:hyperlink r:id="rId11" w:tgtFrame="https://www.mee.gov.cn/ywgz/fgbz/bz/bzwb/shjbh/swrwpfbz/_blank" w:history="1">
        <w:r w:rsidRPr="00AF3D7F">
          <w:rPr>
            <w:rFonts w:ascii="仿宋" w:eastAsia="仿宋" w:hAnsi="仿宋" w:cs="Times New Roman" w:hint="eastAsia"/>
            <w:sz w:val="28"/>
            <w:szCs w:val="28"/>
          </w:rPr>
          <w:t>《镁、</w:t>
        </w:r>
        <w:r w:rsidRPr="00AF3D7F">
          <w:rPr>
            <w:rFonts w:ascii="仿宋" w:eastAsia="仿宋" w:hAnsi="仿宋" w:cs="Times New Roman"/>
            <w:sz w:val="28"/>
            <w:szCs w:val="28"/>
          </w:rPr>
          <w:t>钛工业污染物排放标准</w:t>
        </w:r>
        <w:r w:rsidRPr="00AF3D7F">
          <w:rPr>
            <w:rFonts w:ascii="仿宋" w:eastAsia="仿宋" w:hAnsi="仿宋" w:cs="Times New Roman" w:hint="eastAsia"/>
            <w:sz w:val="28"/>
            <w:szCs w:val="28"/>
          </w:rPr>
          <w:t>》</w:t>
        </w:r>
      </w:hyperlink>
      <w:r w:rsidRPr="00AF3D7F">
        <w:rPr>
          <w:rFonts w:ascii="仿宋" w:eastAsia="仿宋" w:hAnsi="仿宋" w:cs="Times New Roman" w:hint="eastAsia"/>
          <w:sz w:val="28"/>
          <w:szCs w:val="28"/>
        </w:rPr>
        <w:t>等4个行业标准，指导和规范有色金属工业镁、钛、铜、钴、镍、铝、铅、锌冶炼等行业排污工作，进一步完善有色冶炼行业排污管理体系。综上，生态环境部关于生态保护修复方面的标准在通用要求、技术规程、技术方法等方面均有布局，但针对性不强，对于有色冶炼场地没有专门的</w:t>
      </w:r>
      <w:r>
        <w:rPr>
          <w:rFonts w:ascii="仿宋" w:eastAsia="仿宋" w:hAnsi="仿宋" w:cs="Times New Roman" w:hint="eastAsia"/>
          <w:sz w:val="28"/>
          <w:szCs w:val="28"/>
        </w:rPr>
        <w:t>生态重构</w:t>
      </w:r>
      <w:r w:rsidRPr="00AF3D7F">
        <w:rPr>
          <w:rFonts w:ascii="仿宋" w:eastAsia="仿宋" w:hAnsi="仿宋" w:cs="Times New Roman" w:hint="eastAsia"/>
          <w:sz w:val="28"/>
          <w:szCs w:val="28"/>
        </w:rPr>
        <w:t>标准可以依照执行。</w:t>
      </w:r>
    </w:p>
    <w:p w14:paraId="51E6A50D" w14:textId="05BA77C7" w:rsidR="00F659ED" w:rsidRPr="00AF3D7F" w:rsidRDefault="00A73164">
      <w:pPr>
        <w:spacing w:line="360" w:lineRule="auto"/>
        <w:ind w:firstLineChars="200" w:firstLine="560"/>
        <w:jc w:val="left"/>
        <w:rPr>
          <w:rFonts w:ascii="仿宋" w:eastAsia="仿宋" w:hAnsi="仿宋"/>
        </w:rPr>
      </w:pPr>
      <w:r w:rsidRPr="00AF3D7F">
        <w:rPr>
          <w:rFonts w:ascii="仿宋" w:eastAsia="仿宋" w:hAnsi="仿宋" w:cs="Times New Roman" w:hint="eastAsia"/>
          <w:sz w:val="28"/>
          <w:szCs w:val="28"/>
        </w:rPr>
        <w:t>自然资源部归口管理33项。分为通用综合、调查监测、生产建设、修复治理、评价评估等五个类别。其中，涉及通用综合的标准规范主要分布在地质环境保护与土地复垦两个方面，如《土地复垦方案编制规程第1部分：通则》等；涉及有色冶炼区域调查的标准规范主要分布在水文、地质、土质、水质、生态、环境等不同要素的本底调查与动态监测两个方面；如《环境地质调查规范（1:50000）》、《水文地质调查规范（1:50000）》、《地质环境遥感监测技术要求（1:250000）》等；涉及有色冶炼场地</w:t>
      </w:r>
      <w:r w:rsidR="00C64A93">
        <w:rPr>
          <w:rFonts w:ascii="仿宋" w:eastAsia="仿宋" w:hAnsi="仿宋" w:cs="Times New Roman" w:hint="eastAsia"/>
          <w:sz w:val="28"/>
          <w:szCs w:val="28"/>
        </w:rPr>
        <w:t>生态重构</w:t>
      </w:r>
      <w:r w:rsidRPr="00AF3D7F">
        <w:rPr>
          <w:rFonts w:ascii="仿宋" w:eastAsia="仿宋" w:hAnsi="仿宋" w:cs="Times New Roman" w:hint="eastAsia"/>
          <w:sz w:val="28"/>
          <w:szCs w:val="28"/>
        </w:rPr>
        <w:t>的标准规范主要集中在矿山</w:t>
      </w:r>
      <w:r w:rsidR="00C64A93">
        <w:rPr>
          <w:rFonts w:ascii="仿宋" w:eastAsia="仿宋" w:hAnsi="仿宋" w:cs="Times New Roman" w:hint="eastAsia"/>
          <w:sz w:val="28"/>
          <w:szCs w:val="28"/>
        </w:rPr>
        <w:t>生态重构</w:t>
      </w:r>
      <w:r w:rsidRPr="00AF3D7F">
        <w:rPr>
          <w:rFonts w:ascii="仿宋" w:eastAsia="仿宋" w:hAnsi="仿宋" w:cs="Times New Roman" w:hint="eastAsia"/>
          <w:sz w:val="28"/>
          <w:szCs w:val="28"/>
        </w:rPr>
        <w:t>治理方面，如“不同矿种土地复垦技术规范”与《有色金属行业绿色矿山建设规范》等。涉及有色冶炼生态评价评估的标准规范主要分布在有色冶炼土壤、地下水等不同要素破坏（损毁）程度与诱发风险评估、修复质量与</w:t>
      </w:r>
      <w:r w:rsidRPr="00AF3D7F">
        <w:rPr>
          <w:rFonts w:ascii="仿宋" w:eastAsia="仿宋" w:hAnsi="仿宋" w:cs="Times New Roman" w:hint="eastAsia"/>
          <w:sz w:val="28"/>
          <w:szCs w:val="28"/>
        </w:rPr>
        <w:lastRenderedPageBreak/>
        <w:t>治理效果评价等方面。综上，自然资源部关于有色冶炼场地生态保护修复方面的标准主要集中技术规程、技术方法等方面，重点涵盖了调查监测、生产建设、评价评估等有关业务流程；标准针对性不强，类型相对单一，标准体系尚未建立。</w:t>
      </w:r>
    </w:p>
    <w:p w14:paraId="54E95582" w14:textId="41939800" w:rsidR="00F659ED" w:rsidRPr="00AF3D7F" w:rsidRDefault="00A73164">
      <w:pPr>
        <w:spacing w:line="360" w:lineRule="auto"/>
        <w:ind w:firstLineChars="200" w:firstLine="560"/>
        <w:jc w:val="left"/>
        <w:rPr>
          <w:rFonts w:ascii="仿宋" w:eastAsia="仿宋" w:hAnsi="仿宋"/>
        </w:rPr>
      </w:pPr>
      <w:r w:rsidRPr="00AF3D7F">
        <w:rPr>
          <w:rFonts w:ascii="仿宋" w:eastAsia="仿宋" w:hAnsi="仿宋" w:cs="Times New Roman" w:hint="eastAsia"/>
          <w:sz w:val="28"/>
          <w:szCs w:val="28"/>
        </w:rPr>
        <w:t>经研究，现行标准主要制定</w:t>
      </w:r>
      <w:r w:rsidR="006D1F27" w:rsidRPr="00AF3D7F">
        <w:rPr>
          <w:rFonts w:ascii="仿宋" w:eastAsia="仿宋" w:hAnsi="仿宋" w:cs="Times New Roman" w:hint="eastAsia"/>
          <w:sz w:val="28"/>
          <w:szCs w:val="28"/>
        </w:rPr>
        <w:t>时间久远</w:t>
      </w:r>
      <w:r w:rsidRPr="00AF3D7F">
        <w:rPr>
          <w:rFonts w:ascii="仿宋" w:eastAsia="仿宋" w:hAnsi="仿宋" w:cs="Times New Roman" w:hint="eastAsia"/>
          <w:sz w:val="28"/>
          <w:szCs w:val="28"/>
        </w:rPr>
        <w:t>，技术内容侧重于</w:t>
      </w:r>
      <w:r w:rsidR="00983D6F">
        <w:rPr>
          <w:rFonts w:ascii="仿宋" w:eastAsia="仿宋" w:hAnsi="仿宋" w:cs="Times New Roman" w:hint="eastAsia"/>
          <w:sz w:val="28"/>
          <w:szCs w:val="28"/>
        </w:rPr>
        <w:t>土壤污染的修复与管控</w:t>
      </w:r>
      <w:r w:rsidRPr="00AF3D7F">
        <w:rPr>
          <w:rFonts w:ascii="仿宋" w:eastAsia="仿宋" w:hAnsi="仿宋" w:cs="Times New Roman" w:hint="eastAsia"/>
          <w:sz w:val="28"/>
          <w:szCs w:val="28"/>
        </w:rPr>
        <w:t>，关注的是一个区域内地质环境的本底特点、调查监测的通用类技术和工程方法等，缺少对系统性生态</w:t>
      </w:r>
      <w:r w:rsidR="00C64A93">
        <w:rPr>
          <w:rFonts w:ascii="仿宋" w:eastAsia="仿宋" w:hAnsi="仿宋" w:cs="Times New Roman" w:hint="eastAsia"/>
          <w:sz w:val="28"/>
          <w:szCs w:val="28"/>
        </w:rPr>
        <w:t>重构</w:t>
      </w:r>
      <w:r w:rsidRPr="00AF3D7F">
        <w:rPr>
          <w:rFonts w:ascii="仿宋" w:eastAsia="仿宋" w:hAnsi="仿宋" w:cs="Times New Roman" w:hint="eastAsia"/>
          <w:sz w:val="28"/>
          <w:szCs w:val="28"/>
        </w:rPr>
        <w:t>理念的落实，且对于有色冶炼场地重金属污染生态</w:t>
      </w:r>
      <w:r w:rsidR="00C64A93">
        <w:rPr>
          <w:rFonts w:ascii="仿宋" w:eastAsia="仿宋" w:hAnsi="仿宋" w:cs="Times New Roman" w:hint="eastAsia"/>
          <w:sz w:val="28"/>
          <w:szCs w:val="28"/>
        </w:rPr>
        <w:t>重构</w:t>
      </w:r>
      <w:r w:rsidRPr="00AF3D7F">
        <w:rPr>
          <w:rFonts w:ascii="仿宋" w:eastAsia="仿宋" w:hAnsi="仿宋" w:cs="Times New Roman" w:hint="eastAsia"/>
          <w:sz w:val="28"/>
          <w:szCs w:val="28"/>
        </w:rPr>
        <w:t>没有相应的针对性标准。基于此，</w:t>
      </w:r>
      <w:r w:rsidR="00AD6DBB">
        <w:rPr>
          <w:rFonts w:ascii="仿宋" w:eastAsia="仿宋" w:hAnsi="仿宋" w:cs="Times New Roman" w:hint="eastAsia"/>
          <w:sz w:val="28"/>
          <w:szCs w:val="28"/>
        </w:rPr>
        <w:t>在</w:t>
      </w:r>
      <w:r w:rsidR="00AD6DBB" w:rsidRPr="00983D6F">
        <w:rPr>
          <w:rFonts w:ascii="仿宋" w:eastAsia="仿宋" w:hAnsi="仿宋" w:cs="Times New Roman" w:hint="eastAsia"/>
          <w:sz w:val="28"/>
          <w:szCs w:val="28"/>
        </w:rPr>
        <w:t>污染土壤修复工程技术规范 固化/稳定化</w:t>
      </w:r>
      <w:r w:rsidR="00AD6DBB">
        <w:rPr>
          <w:rFonts w:ascii="仿宋" w:eastAsia="仿宋" w:hAnsi="仿宋" w:cs="Times New Roman" w:hint="eastAsia"/>
          <w:sz w:val="28"/>
          <w:szCs w:val="28"/>
        </w:rPr>
        <w:t>（</w:t>
      </w:r>
      <w:r w:rsidR="00AD6DBB" w:rsidRPr="00983D6F">
        <w:rPr>
          <w:rFonts w:ascii="仿宋" w:eastAsia="仿宋" w:hAnsi="仿宋" w:cs="Times New Roman" w:hint="eastAsia"/>
          <w:sz w:val="28"/>
          <w:szCs w:val="28"/>
        </w:rPr>
        <w:t>HJ 1282</w:t>
      </w:r>
      <w:r w:rsidR="00AD6DBB">
        <w:rPr>
          <w:rFonts w:ascii="仿宋" w:eastAsia="仿宋" w:hAnsi="仿宋" w:cs="Times New Roman" w:hint="eastAsia"/>
          <w:sz w:val="28"/>
          <w:szCs w:val="28"/>
        </w:rPr>
        <w:t>）、</w:t>
      </w:r>
      <w:r w:rsidR="00AD6DBB" w:rsidRPr="00AD6DBB">
        <w:rPr>
          <w:rFonts w:ascii="仿宋" w:eastAsia="仿宋" w:hAnsi="仿宋" w:cs="Times New Roman" w:hint="eastAsia"/>
          <w:sz w:val="28"/>
          <w:szCs w:val="28"/>
        </w:rPr>
        <w:t>建设用地土壤修复技术导则</w:t>
      </w:r>
      <w:r w:rsidR="00AD6DBB">
        <w:rPr>
          <w:rFonts w:ascii="仿宋" w:eastAsia="仿宋" w:hAnsi="仿宋" w:cs="Times New Roman" w:hint="eastAsia"/>
          <w:sz w:val="28"/>
          <w:szCs w:val="28"/>
        </w:rPr>
        <w:t>（H</w:t>
      </w:r>
      <w:r w:rsidR="00AD6DBB">
        <w:rPr>
          <w:rFonts w:ascii="仿宋" w:eastAsia="仿宋" w:hAnsi="仿宋" w:cs="Times New Roman"/>
          <w:sz w:val="28"/>
          <w:szCs w:val="28"/>
        </w:rPr>
        <w:t>J 25.4</w:t>
      </w:r>
      <w:r w:rsidR="00AD6DBB">
        <w:rPr>
          <w:rFonts w:ascii="仿宋" w:eastAsia="仿宋" w:hAnsi="仿宋" w:cs="Times New Roman" w:hint="eastAsia"/>
          <w:sz w:val="28"/>
          <w:szCs w:val="28"/>
        </w:rPr>
        <w:t>）等相关规范标准</w:t>
      </w:r>
      <w:r w:rsidR="00AD6DBB">
        <w:rPr>
          <w:rFonts w:ascii="仿宋" w:eastAsia="仿宋" w:hAnsi="仿宋" w:cs="Times New Roman" w:hint="eastAsia"/>
          <w:sz w:val="28"/>
          <w:szCs w:val="28"/>
        </w:rPr>
        <w:t>的基础上，</w:t>
      </w:r>
      <w:r w:rsidRPr="00AF3D7F">
        <w:rPr>
          <w:rFonts w:ascii="仿宋" w:eastAsia="仿宋" w:hAnsi="仿宋" w:cs="Times New Roman" w:hint="eastAsia"/>
          <w:sz w:val="28"/>
          <w:szCs w:val="28"/>
        </w:rPr>
        <w:t>按照“保障安全、突出</w:t>
      </w:r>
      <w:r w:rsidR="006D1F27" w:rsidRPr="00AF3D7F">
        <w:rPr>
          <w:rFonts w:ascii="仿宋" w:eastAsia="仿宋" w:hAnsi="仿宋" w:cs="Times New Roman" w:hint="eastAsia"/>
          <w:sz w:val="28"/>
          <w:szCs w:val="28"/>
        </w:rPr>
        <w:t>污染</w:t>
      </w:r>
      <w:r w:rsidR="00F1001B" w:rsidRPr="00AF3D7F">
        <w:rPr>
          <w:rFonts w:ascii="仿宋" w:eastAsia="仿宋" w:hAnsi="仿宋" w:cs="Times New Roman" w:hint="eastAsia"/>
          <w:sz w:val="28"/>
          <w:szCs w:val="28"/>
        </w:rPr>
        <w:t>修复</w:t>
      </w:r>
      <w:r w:rsidR="00F1001B" w:rsidRPr="00AF3D7F">
        <w:rPr>
          <w:rFonts w:ascii="仿宋" w:eastAsia="仿宋" w:hAnsi="仿宋" w:cs="Times New Roman"/>
          <w:sz w:val="28"/>
          <w:szCs w:val="28"/>
        </w:rPr>
        <w:t>/</w:t>
      </w:r>
      <w:r w:rsidR="006D1F27" w:rsidRPr="00AF3D7F">
        <w:rPr>
          <w:rFonts w:ascii="仿宋" w:eastAsia="仿宋" w:hAnsi="仿宋" w:cs="Times New Roman" w:hint="eastAsia"/>
          <w:sz w:val="28"/>
          <w:szCs w:val="28"/>
        </w:rPr>
        <w:t>风险管控、</w:t>
      </w:r>
      <w:r w:rsidRPr="00AF3D7F">
        <w:rPr>
          <w:rFonts w:ascii="仿宋" w:eastAsia="仿宋" w:hAnsi="仿宋" w:cs="Times New Roman" w:hint="eastAsia"/>
          <w:sz w:val="28"/>
          <w:szCs w:val="28"/>
        </w:rPr>
        <w:t>生态功能</w:t>
      </w:r>
      <w:r w:rsidR="00475192" w:rsidRPr="00AF3D7F">
        <w:rPr>
          <w:rFonts w:ascii="仿宋" w:eastAsia="仿宋" w:hAnsi="仿宋" w:cs="Times New Roman" w:hint="eastAsia"/>
          <w:sz w:val="28"/>
          <w:szCs w:val="28"/>
        </w:rPr>
        <w:t>恢复</w:t>
      </w:r>
      <w:r w:rsidRPr="00AF3D7F">
        <w:rPr>
          <w:rFonts w:ascii="仿宋" w:eastAsia="仿宋" w:hAnsi="仿宋" w:cs="Times New Roman" w:hint="eastAsia"/>
          <w:sz w:val="28"/>
          <w:szCs w:val="28"/>
        </w:rPr>
        <w:t>”的</w:t>
      </w:r>
      <w:r w:rsidR="00475192" w:rsidRPr="00AF3D7F">
        <w:rPr>
          <w:rFonts w:ascii="仿宋" w:eastAsia="仿宋" w:hAnsi="仿宋" w:cs="Times New Roman" w:hint="eastAsia"/>
          <w:sz w:val="28"/>
          <w:szCs w:val="28"/>
        </w:rPr>
        <w:t>理念</w:t>
      </w:r>
      <w:r w:rsidRPr="00AF3D7F">
        <w:rPr>
          <w:rFonts w:ascii="仿宋" w:eastAsia="仿宋" w:hAnsi="仿宋" w:cs="Times New Roman" w:hint="eastAsia"/>
          <w:sz w:val="28"/>
          <w:szCs w:val="28"/>
        </w:rPr>
        <w:t>，结合有色冶炼场地生态</w:t>
      </w:r>
      <w:r w:rsidR="00C64A93">
        <w:rPr>
          <w:rFonts w:ascii="仿宋" w:eastAsia="仿宋" w:hAnsi="仿宋" w:cs="Times New Roman" w:hint="eastAsia"/>
          <w:sz w:val="28"/>
          <w:szCs w:val="28"/>
        </w:rPr>
        <w:t>重构</w:t>
      </w:r>
      <w:r w:rsidRPr="00AF3D7F">
        <w:rPr>
          <w:rFonts w:ascii="仿宋" w:eastAsia="仿宋" w:hAnsi="仿宋" w:cs="Times New Roman" w:hint="eastAsia"/>
          <w:sz w:val="28"/>
          <w:szCs w:val="28"/>
        </w:rPr>
        <w:t>修复实际需要，统筹推进相关国标、行标、团标及地方标准建设，形成行业特色高度体现、主要业务全面覆盖、多级标准相互配合的有色冶炼场地生态</w:t>
      </w:r>
      <w:r w:rsidR="00C64A93">
        <w:rPr>
          <w:rFonts w:ascii="仿宋" w:eastAsia="仿宋" w:hAnsi="仿宋" w:cs="Times New Roman" w:hint="eastAsia"/>
          <w:sz w:val="28"/>
          <w:szCs w:val="28"/>
        </w:rPr>
        <w:t>重构</w:t>
      </w:r>
      <w:r w:rsidRPr="00AF3D7F">
        <w:rPr>
          <w:rFonts w:ascii="仿宋" w:eastAsia="仿宋" w:hAnsi="仿宋" w:cs="Times New Roman" w:hint="eastAsia"/>
          <w:sz w:val="28"/>
          <w:szCs w:val="28"/>
        </w:rPr>
        <w:t>修复标准体系；坚持科学实用、急用现行原则，</w:t>
      </w:r>
      <w:r w:rsidR="00AD6DBB">
        <w:rPr>
          <w:rFonts w:ascii="仿宋" w:eastAsia="仿宋" w:hAnsi="仿宋" w:cs="Times New Roman" w:hint="eastAsia"/>
          <w:sz w:val="28"/>
          <w:szCs w:val="28"/>
        </w:rPr>
        <w:t>编制</w:t>
      </w:r>
      <w:r w:rsidRPr="00AF3D7F">
        <w:rPr>
          <w:rFonts w:ascii="仿宋" w:eastAsia="仿宋" w:hAnsi="仿宋" w:cs="Times New Roman" w:hint="eastAsia"/>
          <w:sz w:val="28"/>
          <w:szCs w:val="28"/>
        </w:rPr>
        <w:t>《有色金属冶炼场地生态重构技术规范》，确保有色金属冶炼场地</w:t>
      </w:r>
      <w:r w:rsidR="00C64A93">
        <w:rPr>
          <w:rFonts w:ascii="仿宋" w:eastAsia="仿宋" w:hAnsi="仿宋" w:cs="Times New Roman" w:hint="eastAsia"/>
          <w:sz w:val="28"/>
          <w:szCs w:val="28"/>
        </w:rPr>
        <w:t>生态重构</w:t>
      </w:r>
      <w:r w:rsidRPr="00AF3D7F">
        <w:rPr>
          <w:rFonts w:ascii="仿宋" w:eastAsia="仿宋" w:hAnsi="仿宋" w:cs="Times New Roman" w:hint="eastAsia"/>
          <w:sz w:val="28"/>
          <w:szCs w:val="28"/>
        </w:rPr>
        <w:t>“有章可循”。</w:t>
      </w:r>
    </w:p>
    <w:p w14:paraId="16822F66" w14:textId="77777777" w:rsidR="00F659ED" w:rsidRPr="00AF3D7F" w:rsidRDefault="00A73164">
      <w:pPr>
        <w:pStyle w:val="aff"/>
        <w:adjustRightInd w:val="0"/>
        <w:spacing w:before="0" w:after="0"/>
        <w:ind w:firstLineChars="200" w:firstLine="643"/>
        <w:jc w:val="left"/>
        <w:rPr>
          <w:rFonts w:ascii="仿宋" w:eastAsia="仿宋" w:hAnsi="仿宋" w:cs="Times New Roman"/>
        </w:rPr>
      </w:pPr>
      <w:bookmarkStart w:id="34" w:name="_Toc17515"/>
      <w:bookmarkStart w:id="35" w:name="_Toc14712"/>
      <w:bookmarkStart w:id="36" w:name="_Toc16999"/>
      <w:r w:rsidRPr="00AF3D7F">
        <w:rPr>
          <w:rFonts w:ascii="仿宋" w:eastAsia="仿宋" w:hAnsi="仿宋" w:cs="Times New Roman"/>
        </w:rPr>
        <w:t>第</w:t>
      </w:r>
      <w:r w:rsidRPr="00AF3D7F">
        <w:rPr>
          <w:rFonts w:ascii="仿宋" w:eastAsia="仿宋" w:hAnsi="仿宋" w:cs="Times New Roman" w:hint="eastAsia"/>
        </w:rPr>
        <w:t>四</w:t>
      </w:r>
      <w:r w:rsidRPr="00AF3D7F">
        <w:rPr>
          <w:rFonts w:ascii="仿宋" w:eastAsia="仿宋" w:hAnsi="仿宋" w:cs="Times New Roman"/>
        </w:rPr>
        <w:t>章 采用国际标准和国外先进标准的程度及与国外同类标准水平的对比</w:t>
      </w:r>
      <w:bookmarkEnd w:id="34"/>
      <w:bookmarkEnd w:id="35"/>
      <w:bookmarkEnd w:id="36"/>
    </w:p>
    <w:p w14:paraId="1B61275C" w14:textId="77777777" w:rsidR="00F659ED" w:rsidRPr="00AF3D7F" w:rsidRDefault="00A73164">
      <w:pPr>
        <w:spacing w:line="360" w:lineRule="auto"/>
        <w:ind w:firstLineChars="200" w:firstLine="560"/>
        <w:jc w:val="left"/>
        <w:rPr>
          <w:rFonts w:ascii="仿宋" w:eastAsia="仿宋" w:hAnsi="仿宋" w:cs="Times New Roman"/>
          <w:sz w:val="28"/>
          <w:szCs w:val="28"/>
        </w:rPr>
      </w:pPr>
      <w:r w:rsidRPr="00AF3D7F">
        <w:rPr>
          <w:rFonts w:ascii="仿宋" w:eastAsia="仿宋" w:hAnsi="仿宋" w:cs="Times New Roman"/>
          <w:sz w:val="28"/>
          <w:szCs w:val="28"/>
        </w:rPr>
        <w:t>未采用国际标准，国外无同类标准。</w:t>
      </w:r>
    </w:p>
    <w:p w14:paraId="792FBCF3" w14:textId="77777777" w:rsidR="00F659ED" w:rsidRPr="00AF3D7F" w:rsidRDefault="00A73164">
      <w:pPr>
        <w:pStyle w:val="aff"/>
        <w:adjustRightInd w:val="0"/>
        <w:spacing w:before="0" w:after="0"/>
        <w:ind w:leftChars="200" w:left="420"/>
        <w:jc w:val="left"/>
        <w:rPr>
          <w:rFonts w:ascii="仿宋" w:eastAsia="仿宋" w:hAnsi="仿宋" w:cs="Times New Roman"/>
        </w:rPr>
      </w:pPr>
      <w:bookmarkStart w:id="37" w:name="_Toc19594"/>
      <w:r w:rsidRPr="00AF3D7F">
        <w:rPr>
          <w:rFonts w:ascii="仿宋" w:eastAsia="仿宋" w:hAnsi="仿宋" w:cs="Times New Roman" w:hint="eastAsia"/>
        </w:rPr>
        <w:t xml:space="preserve">第五章 </w:t>
      </w:r>
      <w:r w:rsidRPr="00AF3D7F">
        <w:rPr>
          <w:rFonts w:ascii="仿宋" w:eastAsia="仿宋" w:hAnsi="仿宋" w:cs="Times New Roman"/>
        </w:rPr>
        <w:t>与有关的现行法律、法规和强制性标准的关系</w:t>
      </w:r>
      <w:bookmarkEnd w:id="31"/>
      <w:bookmarkEnd w:id="32"/>
      <w:bookmarkEnd w:id="33"/>
      <w:bookmarkEnd w:id="37"/>
    </w:p>
    <w:p w14:paraId="3770AFE3" w14:textId="3B0E65FA" w:rsidR="00F659ED" w:rsidRPr="00AF3D7F" w:rsidRDefault="00A73164">
      <w:pPr>
        <w:spacing w:line="360" w:lineRule="auto"/>
        <w:ind w:firstLineChars="200" w:firstLine="560"/>
        <w:jc w:val="left"/>
        <w:rPr>
          <w:rFonts w:ascii="仿宋" w:eastAsia="仿宋" w:hAnsi="仿宋" w:cs="Times New Roman"/>
          <w:sz w:val="28"/>
          <w:szCs w:val="28"/>
        </w:rPr>
      </w:pPr>
      <w:r w:rsidRPr="00AF3D7F">
        <w:rPr>
          <w:rFonts w:ascii="仿宋" w:eastAsia="仿宋" w:hAnsi="仿宋" w:cs="Times New Roman" w:hint="eastAsia"/>
          <w:sz w:val="28"/>
          <w:szCs w:val="28"/>
        </w:rPr>
        <w:t>随着《中华人民共和国土壤污染防治法》的颁布实施，土壤污染防治被提上日程，重金属污染更是土壤污染防治的重点关注对象。有色金</w:t>
      </w:r>
      <w:r w:rsidRPr="00AF3D7F">
        <w:rPr>
          <w:rFonts w:ascii="仿宋" w:eastAsia="仿宋" w:hAnsi="仿宋" w:cs="Times New Roman" w:hint="eastAsia"/>
          <w:sz w:val="28"/>
          <w:szCs w:val="28"/>
        </w:rPr>
        <w:lastRenderedPageBreak/>
        <w:t>属冶炼是造成重金属污染的重要来源之一。对于有色冶炼场地的</w:t>
      </w:r>
      <w:r w:rsidR="00C64A93">
        <w:rPr>
          <w:rFonts w:ascii="仿宋" w:eastAsia="仿宋" w:hAnsi="仿宋" w:cs="Times New Roman" w:hint="eastAsia"/>
          <w:sz w:val="28"/>
          <w:szCs w:val="28"/>
        </w:rPr>
        <w:t>生态重构</w:t>
      </w:r>
      <w:r w:rsidRPr="00AF3D7F">
        <w:rPr>
          <w:rFonts w:ascii="仿宋" w:eastAsia="仿宋" w:hAnsi="仿宋" w:cs="Times New Roman" w:hint="eastAsia"/>
          <w:sz w:val="28"/>
          <w:szCs w:val="28"/>
        </w:rPr>
        <w:t>是对土壤污染防治法的积极响应与维护。</w:t>
      </w:r>
    </w:p>
    <w:p w14:paraId="791869CF" w14:textId="77777777" w:rsidR="00F659ED" w:rsidRPr="00AF3D7F" w:rsidRDefault="00A73164">
      <w:pPr>
        <w:spacing w:line="360" w:lineRule="auto"/>
        <w:ind w:firstLineChars="200" w:firstLine="560"/>
        <w:jc w:val="left"/>
        <w:rPr>
          <w:rFonts w:ascii="仿宋" w:eastAsia="仿宋" w:hAnsi="仿宋" w:cs="Times New Roman"/>
          <w:sz w:val="28"/>
          <w:szCs w:val="28"/>
        </w:rPr>
      </w:pPr>
      <w:r w:rsidRPr="00AF3D7F">
        <w:rPr>
          <w:rFonts w:ascii="仿宋" w:eastAsia="仿宋" w:hAnsi="仿宋" w:cs="Times New Roman" w:hint="eastAsia"/>
          <w:sz w:val="28"/>
          <w:szCs w:val="28"/>
        </w:rPr>
        <w:t>《土地复垦规定》（国13务院令第19号）的颁布实施标志着我国土地复垦开始时走上法制化道路。随着土地复垦问题的成形，其学科的基本概念与基本问题界定开始成为重要问题，土地复垦与生态修复的名词也首次进入大众视野。土地复垦并不只是恢复土地资源，而是关于生态系统的修复和重建，起到保护环境的作用。土地复垦、有色冶炼场地环境保护、有色冶炼场地生态系统保护等研究领域实质是在同一层面和同一内容上探讨有色冶炼与生态环境破坏、重建的问题。</w:t>
      </w:r>
    </w:p>
    <w:p w14:paraId="38A01BF1" w14:textId="4BE3FC52" w:rsidR="00F659ED" w:rsidRPr="00AF3D7F" w:rsidRDefault="00A73164">
      <w:pPr>
        <w:spacing w:line="360" w:lineRule="auto"/>
        <w:ind w:firstLineChars="200" w:firstLine="560"/>
        <w:jc w:val="left"/>
        <w:rPr>
          <w:rFonts w:ascii="仿宋" w:eastAsia="仿宋" w:hAnsi="仿宋" w:cs="Times New Roman"/>
          <w:sz w:val="28"/>
          <w:szCs w:val="28"/>
        </w:rPr>
      </w:pPr>
      <w:r w:rsidRPr="00AF3D7F">
        <w:rPr>
          <w:rFonts w:ascii="仿宋" w:eastAsia="仿宋" w:hAnsi="仿宋" w:cs="Times New Roman" w:hint="eastAsia"/>
          <w:sz w:val="28"/>
          <w:szCs w:val="28"/>
        </w:rPr>
        <w:t>本规范坚持</w:t>
      </w:r>
      <w:r w:rsidR="00AE5764" w:rsidRPr="00AF3D7F">
        <w:rPr>
          <w:rFonts w:ascii="仿宋" w:eastAsia="仿宋" w:hAnsi="仿宋" w:cs="Times New Roman" w:hint="eastAsia"/>
          <w:sz w:val="28"/>
          <w:szCs w:val="28"/>
        </w:rPr>
        <w:t>污染修复及生态恢复并行</w:t>
      </w:r>
      <w:r w:rsidRPr="00AF3D7F">
        <w:rPr>
          <w:rFonts w:ascii="仿宋" w:eastAsia="仿宋" w:hAnsi="仿宋" w:cs="Times New Roman" w:hint="eastAsia"/>
          <w:sz w:val="28"/>
          <w:szCs w:val="28"/>
        </w:rPr>
        <w:t>的理念，明确了有色冶炼重金属污染场地</w:t>
      </w:r>
      <w:r w:rsidR="00C64A93">
        <w:rPr>
          <w:rFonts w:ascii="仿宋" w:eastAsia="仿宋" w:hAnsi="仿宋" w:cs="Times New Roman" w:hint="eastAsia"/>
          <w:sz w:val="28"/>
          <w:szCs w:val="28"/>
        </w:rPr>
        <w:t>生态重构</w:t>
      </w:r>
      <w:r w:rsidRPr="00AF3D7F">
        <w:rPr>
          <w:rFonts w:ascii="仿宋" w:eastAsia="仿宋" w:hAnsi="仿宋" w:cs="Times New Roman" w:hint="eastAsia"/>
          <w:sz w:val="28"/>
          <w:szCs w:val="28"/>
        </w:rPr>
        <w:t>技术方法和工作流程，与其他相关规范相比，内容更加全面，重点更加突出，更加具有针对性和实用性。为促进有色金属资源合理开发，提升有色冶炼场地生态保护修复工作的科学性和有效性，改善有色冶炼重金属污染</w:t>
      </w:r>
      <w:r w:rsidR="00FB2BA0" w:rsidRPr="00AF3D7F">
        <w:rPr>
          <w:rFonts w:ascii="仿宋" w:eastAsia="仿宋" w:hAnsi="仿宋" w:cs="Times New Roman" w:hint="eastAsia"/>
          <w:sz w:val="28"/>
          <w:szCs w:val="28"/>
        </w:rPr>
        <w:t>区域及周边</w:t>
      </w:r>
      <w:r w:rsidRPr="00AF3D7F">
        <w:rPr>
          <w:rFonts w:ascii="仿宋" w:eastAsia="仿宋" w:hAnsi="仿宋" w:cs="Times New Roman" w:hint="eastAsia"/>
          <w:sz w:val="28"/>
          <w:szCs w:val="28"/>
        </w:rPr>
        <w:t>人民生产、生活环境提供技术依据。</w:t>
      </w:r>
    </w:p>
    <w:p w14:paraId="715CBC32" w14:textId="77777777" w:rsidR="00F659ED" w:rsidRPr="00AF3D7F" w:rsidRDefault="00A73164">
      <w:pPr>
        <w:pStyle w:val="aff"/>
        <w:adjustRightInd w:val="0"/>
        <w:snapToGrid w:val="0"/>
        <w:spacing w:before="0" w:after="0" w:line="360" w:lineRule="auto"/>
        <w:ind w:firstLineChars="220" w:firstLine="707"/>
        <w:jc w:val="left"/>
        <w:rPr>
          <w:rFonts w:ascii="仿宋" w:eastAsia="仿宋" w:hAnsi="仿宋" w:cs="Times New Roman"/>
        </w:rPr>
      </w:pPr>
      <w:bookmarkStart w:id="38" w:name="_Toc21696"/>
      <w:bookmarkStart w:id="39" w:name="_Toc26830"/>
      <w:bookmarkStart w:id="40" w:name="_Toc390343064"/>
      <w:bookmarkStart w:id="41" w:name="_Toc22403"/>
      <w:r w:rsidRPr="00AF3D7F">
        <w:rPr>
          <w:rFonts w:ascii="仿宋" w:eastAsia="仿宋" w:hAnsi="仿宋" w:cs="Times New Roman"/>
        </w:rPr>
        <w:t>第</w:t>
      </w:r>
      <w:r w:rsidRPr="00AF3D7F">
        <w:rPr>
          <w:rFonts w:ascii="仿宋" w:eastAsia="仿宋" w:hAnsi="仿宋" w:cs="Times New Roman" w:hint="eastAsia"/>
        </w:rPr>
        <w:t>六</w:t>
      </w:r>
      <w:r w:rsidRPr="00AF3D7F">
        <w:rPr>
          <w:rFonts w:ascii="仿宋" w:eastAsia="仿宋" w:hAnsi="仿宋" w:cs="Times New Roman"/>
        </w:rPr>
        <w:t>章 重大分歧意见的处理经过和依据</w:t>
      </w:r>
      <w:bookmarkEnd w:id="38"/>
      <w:bookmarkEnd w:id="39"/>
      <w:bookmarkEnd w:id="40"/>
      <w:bookmarkEnd w:id="41"/>
    </w:p>
    <w:p w14:paraId="0DACCD97" w14:textId="77777777" w:rsidR="00F659ED" w:rsidRPr="00AF3D7F" w:rsidRDefault="00A73164">
      <w:pPr>
        <w:spacing w:line="360" w:lineRule="auto"/>
        <w:ind w:firstLineChars="200" w:firstLine="560"/>
        <w:jc w:val="left"/>
        <w:rPr>
          <w:rFonts w:ascii="仿宋" w:eastAsia="仿宋" w:hAnsi="仿宋" w:cs="Times New Roman"/>
          <w:sz w:val="28"/>
          <w:szCs w:val="28"/>
        </w:rPr>
      </w:pPr>
      <w:r w:rsidRPr="00AF3D7F">
        <w:rPr>
          <w:rFonts w:ascii="仿宋" w:eastAsia="仿宋" w:hAnsi="仿宋" w:cs="Times New Roman" w:hint="eastAsia"/>
          <w:sz w:val="28"/>
          <w:szCs w:val="28"/>
        </w:rPr>
        <w:t>无。</w:t>
      </w:r>
    </w:p>
    <w:p w14:paraId="3957E469" w14:textId="77777777" w:rsidR="00F659ED" w:rsidRPr="00AF3D7F" w:rsidRDefault="00A73164">
      <w:pPr>
        <w:pStyle w:val="aff"/>
        <w:numPr>
          <w:ilvl w:val="0"/>
          <w:numId w:val="6"/>
        </w:numPr>
        <w:adjustRightInd w:val="0"/>
        <w:snapToGrid w:val="0"/>
        <w:spacing w:beforeLines="100" w:before="312" w:after="0" w:line="360" w:lineRule="auto"/>
        <w:ind w:firstLineChars="220" w:firstLine="707"/>
        <w:jc w:val="left"/>
        <w:rPr>
          <w:rFonts w:ascii="仿宋" w:eastAsia="仿宋" w:hAnsi="仿宋" w:cs="Times New Roman"/>
        </w:rPr>
      </w:pPr>
      <w:bookmarkStart w:id="42" w:name="_Toc28797"/>
      <w:bookmarkStart w:id="43" w:name="_Toc31912"/>
      <w:bookmarkStart w:id="44" w:name="_Toc390343065"/>
      <w:bookmarkStart w:id="45" w:name="_Toc17755"/>
      <w:r w:rsidRPr="00AF3D7F">
        <w:rPr>
          <w:rFonts w:ascii="仿宋" w:eastAsia="仿宋" w:hAnsi="仿宋" w:cs="Times New Roman"/>
        </w:rPr>
        <w:t>标准作为强制性标准或推荐性标准的建议</w:t>
      </w:r>
      <w:bookmarkEnd w:id="42"/>
      <w:bookmarkEnd w:id="43"/>
      <w:bookmarkEnd w:id="44"/>
      <w:bookmarkEnd w:id="45"/>
    </w:p>
    <w:p w14:paraId="7BE25FB7" w14:textId="406B8C74" w:rsidR="00F659ED" w:rsidRPr="00AF3D7F" w:rsidRDefault="00A73164">
      <w:pPr>
        <w:ind w:firstLineChars="200" w:firstLine="560"/>
        <w:rPr>
          <w:rFonts w:ascii="仿宋" w:eastAsia="仿宋" w:hAnsi="仿宋"/>
        </w:rPr>
      </w:pPr>
      <w:r w:rsidRPr="00AF3D7F">
        <w:rPr>
          <w:rFonts w:ascii="仿宋" w:eastAsia="仿宋" w:hAnsi="仿宋" w:cs="Times New Roman" w:hint="eastAsia"/>
          <w:sz w:val="28"/>
          <w:szCs w:val="28"/>
        </w:rPr>
        <w:t>标准是规范有色冶炼场地</w:t>
      </w:r>
      <w:r w:rsidR="00C64A93">
        <w:rPr>
          <w:rFonts w:ascii="仿宋" w:eastAsia="仿宋" w:hAnsi="仿宋" w:cs="Times New Roman" w:hint="eastAsia"/>
          <w:sz w:val="28"/>
          <w:szCs w:val="28"/>
        </w:rPr>
        <w:t>生态重构</w:t>
      </w:r>
      <w:r w:rsidRPr="00AF3D7F">
        <w:rPr>
          <w:rFonts w:ascii="仿宋" w:eastAsia="仿宋" w:hAnsi="仿宋" w:cs="Times New Roman" w:hint="eastAsia"/>
          <w:sz w:val="28"/>
          <w:szCs w:val="28"/>
        </w:rPr>
        <w:t>工作的技术要求，具有系统性、全面性和技术指导性，与现行有关技术标准一起配套使用，对践行生态文明建设、科学推进有色冶炼场地</w:t>
      </w:r>
      <w:r w:rsidR="00C64A93">
        <w:rPr>
          <w:rFonts w:ascii="仿宋" w:eastAsia="仿宋" w:hAnsi="仿宋" w:cs="Times New Roman" w:hint="eastAsia"/>
          <w:sz w:val="28"/>
          <w:szCs w:val="28"/>
        </w:rPr>
        <w:t>生态重构</w:t>
      </w:r>
      <w:r w:rsidRPr="00AF3D7F">
        <w:rPr>
          <w:rFonts w:ascii="仿宋" w:eastAsia="仿宋" w:hAnsi="仿宋" w:cs="Times New Roman" w:hint="eastAsia"/>
          <w:sz w:val="28"/>
          <w:szCs w:val="28"/>
        </w:rPr>
        <w:t>具有重要意义。因此，建议作为推荐性</w:t>
      </w:r>
      <w:r w:rsidR="00A71E63" w:rsidRPr="00AF3D7F">
        <w:rPr>
          <w:rFonts w:ascii="仿宋" w:eastAsia="仿宋" w:hAnsi="仿宋" w:cs="Times New Roman" w:hint="eastAsia"/>
          <w:sz w:val="28"/>
          <w:szCs w:val="28"/>
        </w:rPr>
        <w:t>团体</w:t>
      </w:r>
      <w:r w:rsidRPr="00AF3D7F">
        <w:rPr>
          <w:rFonts w:ascii="仿宋" w:eastAsia="仿宋" w:hAnsi="仿宋" w:cs="Times New Roman" w:hint="eastAsia"/>
          <w:sz w:val="28"/>
          <w:szCs w:val="28"/>
        </w:rPr>
        <w:t>标准发布实施。</w:t>
      </w:r>
    </w:p>
    <w:p w14:paraId="367EEBF0" w14:textId="77777777" w:rsidR="00F659ED" w:rsidRPr="00AF3D7F" w:rsidRDefault="00A73164">
      <w:pPr>
        <w:pStyle w:val="aff"/>
        <w:adjustRightInd w:val="0"/>
        <w:snapToGrid w:val="0"/>
        <w:spacing w:beforeLines="100" w:before="312" w:after="0" w:line="360" w:lineRule="auto"/>
        <w:ind w:firstLineChars="220" w:firstLine="707"/>
        <w:jc w:val="left"/>
        <w:rPr>
          <w:rFonts w:ascii="仿宋" w:eastAsia="仿宋" w:hAnsi="仿宋" w:cs="Times New Roman"/>
          <w:sz w:val="28"/>
          <w:szCs w:val="28"/>
        </w:rPr>
      </w:pPr>
      <w:bookmarkStart w:id="46" w:name="_Toc22260"/>
      <w:bookmarkStart w:id="47" w:name="_Toc32038"/>
      <w:bookmarkStart w:id="48" w:name="_Toc9364"/>
      <w:bookmarkStart w:id="49" w:name="_Toc390343066"/>
      <w:r w:rsidRPr="00AF3D7F">
        <w:rPr>
          <w:rFonts w:ascii="仿宋" w:eastAsia="仿宋" w:hAnsi="仿宋" w:cs="Times New Roman"/>
        </w:rPr>
        <w:lastRenderedPageBreak/>
        <w:t>第</w:t>
      </w:r>
      <w:r w:rsidRPr="00AF3D7F">
        <w:rPr>
          <w:rFonts w:ascii="仿宋" w:eastAsia="仿宋" w:hAnsi="仿宋" w:cs="Times New Roman" w:hint="eastAsia"/>
        </w:rPr>
        <w:t>八</w:t>
      </w:r>
      <w:r w:rsidRPr="00AF3D7F">
        <w:rPr>
          <w:rFonts w:ascii="仿宋" w:eastAsia="仿宋" w:hAnsi="仿宋" w:cs="Times New Roman"/>
        </w:rPr>
        <w:t>章 贯彻标准的要求和措施建议</w:t>
      </w:r>
      <w:bookmarkEnd w:id="46"/>
      <w:bookmarkEnd w:id="47"/>
      <w:bookmarkEnd w:id="48"/>
      <w:bookmarkEnd w:id="49"/>
    </w:p>
    <w:p w14:paraId="3E2E24CA" w14:textId="624F37C0" w:rsidR="00F659ED" w:rsidRPr="00AF3D7F" w:rsidRDefault="00A73164">
      <w:pPr>
        <w:spacing w:line="360" w:lineRule="auto"/>
        <w:ind w:firstLineChars="200" w:firstLine="560"/>
        <w:jc w:val="left"/>
        <w:rPr>
          <w:rFonts w:ascii="仿宋" w:eastAsia="仿宋" w:hAnsi="仿宋" w:cs="Times New Roman"/>
          <w:sz w:val="28"/>
          <w:szCs w:val="28"/>
        </w:rPr>
      </w:pPr>
      <w:r w:rsidRPr="00AF3D7F">
        <w:rPr>
          <w:rFonts w:ascii="仿宋" w:eastAsia="仿宋" w:hAnsi="仿宋" w:cs="Times New Roman" w:hint="eastAsia"/>
          <w:sz w:val="28"/>
          <w:szCs w:val="28"/>
        </w:rPr>
        <w:t>本标准通过对国内外相关文献的整理与分析、实地调研和咨询，总结近几年来国内外有色冶炼场地</w:t>
      </w:r>
      <w:r w:rsidR="00C64A93">
        <w:rPr>
          <w:rFonts w:ascii="仿宋" w:eastAsia="仿宋" w:hAnsi="仿宋" w:cs="Times New Roman" w:hint="eastAsia"/>
          <w:sz w:val="28"/>
          <w:szCs w:val="28"/>
        </w:rPr>
        <w:t>生态重构</w:t>
      </w:r>
      <w:r w:rsidRPr="00AF3D7F">
        <w:rPr>
          <w:rFonts w:ascii="仿宋" w:eastAsia="仿宋" w:hAnsi="仿宋" w:cs="Times New Roman" w:hint="eastAsia"/>
          <w:sz w:val="28"/>
          <w:szCs w:val="28"/>
        </w:rPr>
        <w:t>技术，从设计、施工、评估、后期监测等方面的有效经验，经现场实际调研并结合资料整合，完成了本标准的制定。</w:t>
      </w:r>
    </w:p>
    <w:p w14:paraId="0B46219E" w14:textId="32C5B3AF" w:rsidR="00F659ED" w:rsidRPr="00AF3D7F" w:rsidRDefault="00A73164">
      <w:pPr>
        <w:spacing w:line="360" w:lineRule="auto"/>
        <w:ind w:firstLineChars="200" w:firstLine="560"/>
        <w:jc w:val="left"/>
        <w:rPr>
          <w:rFonts w:ascii="仿宋" w:eastAsia="仿宋" w:hAnsi="仿宋" w:cs="Times New Roman"/>
          <w:sz w:val="28"/>
          <w:szCs w:val="28"/>
        </w:rPr>
      </w:pPr>
      <w:r w:rsidRPr="00AF3D7F">
        <w:rPr>
          <w:rFonts w:ascii="仿宋" w:eastAsia="仿宋" w:hAnsi="仿宋" w:cs="Times New Roman" w:hint="eastAsia"/>
          <w:sz w:val="28"/>
          <w:szCs w:val="28"/>
        </w:rPr>
        <w:t>本标准为首次制订，包括了有色冶炼场地</w:t>
      </w:r>
      <w:r w:rsidR="00C64A93">
        <w:rPr>
          <w:rFonts w:ascii="仿宋" w:eastAsia="仿宋" w:hAnsi="仿宋" w:cs="Times New Roman" w:hint="eastAsia"/>
          <w:sz w:val="28"/>
          <w:szCs w:val="28"/>
        </w:rPr>
        <w:t>生态重构</w:t>
      </w:r>
      <w:r w:rsidRPr="00AF3D7F">
        <w:rPr>
          <w:rFonts w:ascii="仿宋" w:eastAsia="仿宋" w:hAnsi="仿宋" w:cs="Times New Roman" w:hint="eastAsia"/>
          <w:sz w:val="28"/>
          <w:szCs w:val="28"/>
        </w:rPr>
        <w:t>技术的方案设计、施工等方面的内容，涉及面广、技术性强。建议在本标准实施过程中，广泛听取和收集各方面的意见与建议，根据实际应用情况，对本标准进行不断的修订和完善。由于有色冶炼场地</w:t>
      </w:r>
      <w:r w:rsidR="00C64A93">
        <w:rPr>
          <w:rFonts w:ascii="仿宋" w:eastAsia="仿宋" w:hAnsi="仿宋" w:cs="Times New Roman" w:hint="eastAsia"/>
          <w:sz w:val="28"/>
          <w:szCs w:val="28"/>
        </w:rPr>
        <w:t>生态重构</w:t>
      </w:r>
      <w:r w:rsidRPr="00AF3D7F">
        <w:rPr>
          <w:rFonts w:ascii="仿宋" w:eastAsia="仿宋" w:hAnsi="仿宋" w:cs="Times New Roman" w:hint="eastAsia"/>
          <w:sz w:val="28"/>
          <w:szCs w:val="28"/>
        </w:rPr>
        <w:t>技术将随着环保管理要求而不断发展与创新，此外，随着经济的发展和新技术不断使用，本标准中的相关技术、工艺会发生很大的变化，相应的技术要求也应随之进行相应的调整。因此，在实施过程中可采用先试行一段时间，广泛听取和收集各方面的意见与建议，进行进一步的修订完善，使其实用性和可操作性与时俱进，不断满足环境管理和环保设施工程建设的需要。</w:t>
      </w:r>
    </w:p>
    <w:p w14:paraId="1C8461C6" w14:textId="77777777" w:rsidR="00F659ED" w:rsidRPr="00AF3D7F" w:rsidRDefault="00A73164">
      <w:pPr>
        <w:spacing w:line="360" w:lineRule="auto"/>
        <w:ind w:firstLineChars="200" w:firstLine="560"/>
        <w:jc w:val="left"/>
        <w:rPr>
          <w:rFonts w:ascii="仿宋" w:eastAsia="仿宋" w:hAnsi="仿宋" w:cs="Times New Roman"/>
          <w:sz w:val="28"/>
          <w:szCs w:val="28"/>
        </w:rPr>
      </w:pPr>
      <w:r w:rsidRPr="00AF3D7F">
        <w:rPr>
          <w:rFonts w:ascii="仿宋" w:eastAsia="仿宋" w:hAnsi="仿宋" w:cs="Times New Roman" w:hint="eastAsia"/>
          <w:sz w:val="28"/>
          <w:szCs w:val="28"/>
        </w:rPr>
        <w:t>为贯彻标准，建议标准发布后，提请主管部门适时发布贯标的通知，并委托起草单位组织培训，切实推动这项行业标准的贯彻实施。</w:t>
      </w:r>
    </w:p>
    <w:p w14:paraId="1DA7A553" w14:textId="77777777" w:rsidR="00F659ED" w:rsidRPr="00AF3D7F" w:rsidRDefault="00A73164">
      <w:pPr>
        <w:pStyle w:val="aff"/>
        <w:adjustRightInd w:val="0"/>
        <w:snapToGrid w:val="0"/>
        <w:spacing w:beforeLines="100" w:before="312" w:after="0" w:line="360" w:lineRule="auto"/>
        <w:ind w:firstLineChars="220" w:firstLine="707"/>
        <w:jc w:val="left"/>
        <w:rPr>
          <w:rFonts w:ascii="仿宋" w:eastAsia="仿宋" w:hAnsi="仿宋" w:cs="Times New Roman"/>
        </w:rPr>
      </w:pPr>
      <w:bookmarkStart w:id="50" w:name="_Toc22234"/>
      <w:bookmarkStart w:id="51" w:name="_Toc3191"/>
      <w:bookmarkStart w:id="52" w:name="_Toc390343067"/>
      <w:bookmarkStart w:id="53" w:name="_Toc17709"/>
      <w:r w:rsidRPr="00AF3D7F">
        <w:rPr>
          <w:rFonts w:ascii="仿宋" w:eastAsia="仿宋" w:hAnsi="仿宋" w:cs="Times New Roman"/>
        </w:rPr>
        <w:t>第</w:t>
      </w:r>
      <w:r w:rsidRPr="00AF3D7F">
        <w:rPr>
          <w:rFonts w:ascii="仿宋" w:eastAsia="仿宋" w:hAnsi="仿宋" w:cs="Times New Roman" w:hint="eastAsia"/>
        </w:rPr>
        <w:t>九</w:t>
      </w:r>
      <w:r w:rsidRPr="00AF3D7F">
        <w:rPr>
          <w:rFonts w:ascii="仿宋" w:eastAsia="仿宋" w:hAnsi="仿宋" w:cs="Times New Roman"/>
        </w:rPr>
        <w:t>章 废止现行有关标准的建议</w:t>
      </w:r>
      <w:bookmarkEnd w:id="50"/>
      <w:bookmarkEnd w:id="51"/>
      <w:bookmarkEnd w:id="52"/>
      <w:bookmarkEnd w:id="53"/>
    </w:p>
    <w:p w14:paraId="437E2410" w14:textId="77777777" w:rsidR="00F659ED" w:rsidRPr="00AF3D7F" w:rsidRDefault="00A73164">
      <w:pPr>
        <w:spacing w:line="360" w:lineRule="auto"/>
        <w:ind w:firstLineChars="200" w:firstLine="560"/>
        <w:jc w:val="left"/>
        <w:rPr>
          <w:rFonts w:ascii="仿宋" w:eastAsia="仿宋" w:hAnsi="仿宋" w:cs="Times New Roman"/>
          <w:sz w:val="28"/>
          <w:szCs w:val="28"/>
        </w:rPr>
      </w:pPr>
      <w:r w:rsidRPr="00AF3D7F">
        <w:rPr>
          <w:rFonts w:ascii="仿宋" w:eastAsia="仿宋" w:hAnsi="仿宋" w:cs="Times New Roman"/>
          <w:sz w:val="28"/>
          <w:szCs w:val="28"/>
        </w:rPr>
        <w:t>无。</w:t>
      </w:r>
    </w:p>
    <w:p w14:paraId="593A5B85" w14:textId="77777777" w:rsidR="00F659ED" w:rsidRPr="00AF3D7F" w:rsidRDefault="00A73164">
      <w:pPr>
        <w:pStyle w:val="aff"/>
        <w:adjustRightInd w:val="0"/>
        <w:snapToGrid w:val="0"/>
        <w:spacing w:beforeLines="100" w:before="312" w:after="0" w:line="360" w:lineRule="auto"/>
        <w:ind w:firstLineChars="220" w:firstLine="707"/>
        <w:jc w:val="left"/>
        <w:rPr>
          <w:rFonts w:ascii="仿宋" w:eastAsia="仿宋" w:hAnsi="仿宋" w:cs="Times New Roman"/>
        </w:rPr>
      </w:pPr>
      <w:bookmarkStart w:id="54" w:name="_Toc16117"/>
      <w:bookmarkStart w:id="55" w:name="_Toc390343068"/>
      <w:bookmarkStart w:id="56" w:name="_Toc23627"/>
      <w:bookmarkStart w:id="57" w:name="_Toc7508"/>
      <w:r w:rsidRPr="00AF3D7F">
        <w:rPr>
          <w:rFonts w:ascii="仿宋" w:eastAsia="仿宋" w:hAnsi="仿宋" w:cs="Times New Roman"/>
        </w:rPr>
        <w:t>第</w:t>
      </w:r>
      <w:r w:rsidRPr="00AF3D7F">
        <w:rPr>
          <w:rFonts w:ascii="仿宋" w:eastAsia="仿宋" w:hAnsi="仿宋" w:cs="Times New Roman" w:hint="eastAsia"/>
        </w:rPr>
        <w:t>十</w:t>
      </w:r>
      <w:r w:rsidRPr="00AF3D7F">
        <w:rPr>
          <w:rFonts w:ascii="仿宋" w:eastAsia="仿宋" w:hAnsi="仿宋" w:cs="Times New Roman"/>
        </w:rPr>
        <w:t>章 其他应予说明的事项</w:t>
      </w:r>
      <w:bookmarkEnd w:id="54"/>
      <w:bookmarkEnd w:id="55"/>
      <w:bookmarkEnd w:id="56"/>
      <w:bookmarkEnd w:id="57"/>
    </w:p>
    <w:p w14:paraId="2ED5D1C3" w14:textId="77777777" w:rsidR="00F659ED" w:rsidRPr="00AF3D7F" w:rsidRDefault="00A73164">
      <w:pPr>
        <w:spacing w:line="360" w:lineRule="auto"/>
        <w:ind w:firstLineChars="200" w:firstLine="560"/>
        <w:jc w:val="left"/>
        <w:rPr>
          <w:rFonts w:ascii="仿宋" w:eastAsia="仿宋" w:hAnsi="仿宋" w:cs="Times New Roman"/>
        </w:rPr>
      </w:pPr>
      <w:r w:rsidRPr="00AF3D7F">
        <w:rPr>
          <w:rFonts w:ascii="仿宋" w:eastAsia="仿宋" w:hAnsi="仿宋" w:cs="Times New Roman"/>
          <w:sz w:val="28"/>
          <w:szCs w:val="28"/>
        </w:rPr>
        <w:t>无。</w:t>
      </w:r>
    </w:p>
    <w:sectPr w:rsidR="00F659ED" w:rsidRPr="00AF3D7F">
      <w:headerReference w:type="default" r:id="rId12"/>
      <w:footerReference w:type="default" r:id="rId13"/>
      <w:pgSz w:w="11906" w:h="16838"/>
      <w:pgMar w:top="1440" w:right="1418" w:bottom="1440" w:left="1588"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D3C32" w14:textId="77777777" w:rsidR="00E74F06" w:rsidRDefault="00E74F06">
      <w:r>
        <w:separator/>
      </w:r>
    </w:p>
  </w:endnote>
  <w:endnote w:type="continuationSeparator" w:id="0">
    <w:p w14:paraId="021DA563" w14:textId="77777777" w:rsidR="00E74F06" w:rsidRDefault="00E74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oúì."/>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7855D" w14:textId="77777777" w:rsidR="00F659ED" w:rsidRDefault="00A73164">
    <w:pPr>
      <w:pStyle w:val="afa"/>
    </w:pPr>
    <w:r>
      <w:fldChar w:fldCharType="begin"/>
    </w:r>
    <w:r>
      <w:instrText xml:space="preserve"> PAGE   \* MERGEFORMAT </w:instrText>
    </w:r>
    <w:r>
      <w:fldChar w:fldCharType="separate"/>
    </w:r>
    <w:r>
      <w:rPr>
        <w:lang w:val="zh-CN"/>
      </w:rPr>
      <w:t>2</w:t>
    </w:r>
    <w:r>
      <w:rPr>
        <w:lang w:val="zh-CN"/>
      </w:rPr>
      <w:fldChar w:fldCharType="end"/>
    </w:r>
  </w:p>
  <w:p w14:paraId="6B741D18" w14:textId="77777777" w:rsidR="00F659ED" w:rsidRDefault="00F659ED">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93AF8" w14:textId="77777777" w:rsidR="00F659ED" w:rsidRDefault="00A73164">
    <w:pPr>
      <w:pStyle w:val="afa"/>
      <w:jc w:val="center"/>
      <w:rPr>
        <w:rFonts w:ascii="Times New Roman" w:hAnsi="Times New Roman"/>
      </w:rPr>
    </w:pPr>
    <w:r>
      <w:fldChar w:fldCharType="begin"/>
    </w:r>
    <w:r>
      <w:instrText xml:space="preserve"> PAGE   \* MERGEFORMAT </w:instrText>
    </w:r>
    <w:r>
      <w:fldChar w:fldCharType="separate"/>
    </w:r>
    <w:r>
      <w:rPr>
        <w:rFonts w:ascii="Times New Roman" w:hAnsi="Times New Roman"/>
        <w:lang w:val="zh-CN"/>
      </w:rPr>
      <w:t>9</w:t>
    </w:r>
    <w:r>
      <w:rPr>
        <w:rFonts w:ascii="Times New Roman" w:hAnsi="Times New Roman"/>
        <w:lang w:val="zh-CN"/>
      </w:rPr>
      <w:fldChar w:fldCharType="end"/>
    </w:r>
  </w:p>
  <w:p w14:paraId="02F7F74B" w14:textId="77777777" w:rsidR="00F659ED" w:rsidRDefault="00F659ED">
    <w:pPr>
      <w:pStyle w:val="af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EA211" w14:textId="77777777" w:rsidR="00F659ED" w:rsidRDefault="00A73164">
    <w:pPr>
      <w:pStyle w:val="afa"/>
      <w:jc w:val="center"/>
      <w:rPr>
        <w:rFonts w:ascii="Times New Roman" w:hAnsi="Times New Roman"/>
      </w:rPr>
    </w:pPr>
    <w:r>
      <w:fldChar w:fldCharType="begin"/>
    </w:r>
    <w:r>
      <w:instrText xml:space="preserve"> PAGE   \* MERGEFORMAT </w:instrText>
    </w:r>
    <w:r>
      <w:fldChar w:fldCharType="separate"/>
    </w:r>
    <w:r>
      <w:rPr>
        <w:rFonts w:ascii="Times New Roman" w:hAnsi="Times New Roman"/>
        <w:lang w:val="zh-CN"/>
      </w:rPr>
      <w:t>6</w:t>
    </w:r>
    <w:r>
      <w:rPr>
        <w:rFonts w:ascii="Times New Roman" w:hAnsi="Times New Roman"/>
        <w:lang w:val="zh-CN"/>
      </w:rPr>
      <w:fldChar w:fldCharType="end"/>
    </w:r>
  </w:p>
  <w:p w14:paraId="65EC48DB" w14:textId="77777777" w:rsidR="00F659ED" w:rsidRDefault="00F659ED">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E8499" w14:textId="77777777" w:rsidR="00E74F06" w:rsidRDefault="00E74F06">
      <w:r>
        <w:separator/>
      </w:r>
    </w:p>
  </w:footnote>
  <w:footnote w:type="continuationSeparator" w:id="0">
    <w:p w14:paraId="5AECCDD2" w14:textId="77777777" w:rsidR="00E74F06" w:rsidRDefault="00E74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10B40" w14:textId="77777777" w:rsidR="00F659ED" w:rsidRDefault="00F659ED">
    <w:pPr>
      <w:pStyle w:val="afc"/>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1FD580"/>
    <w:multiLevelType w:val="singleLevel"/>
    <w:tmpl w:val="881FD580"/>
    <w:lvl w:ilvl="0">
      <w:start w:val="7"/>
      <w:numFmt w:val="chineseCounting"/>
      <w:suff w:val="space"/>
      <w:lvlText w:val="第%1章"/>
      <w:lvlJc w:val="left"/>
      <w:rPr>
        <w:rFonts w:hint="eastAsia"/>
      </w:rPr>
    </w:lvl>
  </w:abstractNum>
  <w:abstractNum w:abstractNumId="1" w15:restartNumberingAfterBreak="0">
    <w:nsid w:val="C5057892"/>
    <w:multiLevelType w:val="singleLevel"/>
    <w:tmpl w:val="C5057892"/>
    <w:lvl w:ilvl="0">
      <w:start w:val="3"/>
      <w:numFmt w:val="chineseCounting"/>
      <w:suff w:val="space"/>
      <w:lvlText w:val="第%1章"/>
      <w:lvlJc w:val="left"/>
      <w:rPr>
        <w:rFonts w:hint="eastAsia"/>
      </w:rPr>
    </w:lvl>
  </w:abstractNum>
  <w:abstractNum w:abstractNumId="2"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0"/>
      <w:suff w:val="nothing"/>
      <w:lvlText w:val="%1.%2.%3　"/>
      <w:lvlJc w:val="left"/>
      <w:pPr>
        <w:ind w:left="63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2"/>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46806F7D"/>
    <w:multiLevelType w:val="multilevel"/>
    <w:tmpl w:val="46806F7D"/>
    <w:lvl w:ilvl="0">
      <w:start w:val="1"/>
      <w:numFmt w:val="none"/>
      <w:pStyle w:val="a1"/>
      <w:lvlText w:val="图"/>
      <w:lvlJc w:val="left"/>
      <w:pPr>
        <w:tabs>
          <w:tab w:val="left" w:pos="3405"/>
        </w:tabs>
        <w:ind w:left="3045" w:firstLine="0"/>
      </w:pPr>
      <w:rPr>
        <w:rFonts w:ascii="黑体" w:eastAsia="黑体" w:hint="eastAsia"/>
        <w:b w:val="0"/>
        <w:i w:val="0"/>
        <w:sz w:val="21"/>
      </w:rPr>
    </w:lvl>
    <w:lvl w:ilvl="1">
      <w:start w:val="6"/>
      <w:numFmt w:val="decimal"/>
      <w:lvlText w:val="%2）"/>
      <w:lvlJc w:val="left"/>
      <w:pPr>
        <w:tabs>
          <w:tab w:val="left" w:pos="780"/>
        </w:tabs>
        <w:ind w:left="780" w:hanging="360"/>
      </w:pPr>
      <w:rPr>
        <w:rFonts w:hAnsi="宋体"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60B55DC2"/>
    <w:multiLevelType w:val="multilevel"/>
    <w:tmpl w:val="60B55DC2"/>
    <w:lvl w:ilvl="0">
      <w:start w:val="1"/>
      <w:numFmt w:val="upperLetter"/>
      <w:pStyle w:val="a2"/>
      <w:lvlText w:val="%1"/>
      <w:lvlJc w:val="left"/>
      <w:pPr>
        <w:tabs>
          <w:tab w:val="left" w:pos="0"/>
        </w:tabs>
        <w:ind w:left="0" w:hanging="425"/>
      </w:pPr>
      <w:rPr>
        <w:rFonts w:hint="eastAsia"/>
      </w:rPr>
    </w:lvl>
    <w:lvl w:ilvl="1">
      <w:start w:val="1"/>
      <w:numFmt w:val="decimal"/>
      <w:pStyle w:val="a3"/>
      <w:suff w:val="nothing"/>
      <w:lvlText w:val="表F.%2　"/>
      <w:lvlJc w:val="left"/>
      <w:pPr>
        <w:ind w:left="4395"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5" w15:restartNumberingAfterBreak="0">
    <w:nsid w:val="657D3FBC"/>
    <w:multiLevelType w:val="multilevel"/>
    <w:tmpl w:val="657D3FBC"/>
    <w:lvl w:ilvl="0">
      <w:start w:val="1"/>
      <w:numFmt w:val="upperLetter"/>
      <w:pStyle w:val="a4"/>
      <w:suff w:val="nothing"/>
      <w:lvlText w:val="附　录　%1"/>
      <w:lvlJc w:val="left"/>
      <w:pPr>
        <w:ind w:left="5145" w:firstLine="0"/>
      </w:pPr>
      <w:rPr>
        <w:rFonts w:ascii="黑体" w:eastAsia="黑体" w:hAnsi="Times New Roman" w:hint="eastAsia"/>
        <w:b w:val="0"/>
        <w:i w:val="0"/>
        <w:sz w:val="28"/>
        <w:szCs w:val="28"/>
      </w:rPr>
    </w:lvl>
    <w:lvl w:ilvl="1">
      <w:start w:val="1"/>
      <w:numFmt w:val="decimal"/>
      <w:pStyle w:val="a5"/>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wMzC3MLM0MjQ1szBX0lEKTi0uzszPAykwqgUAlB3x4iwAAAA="/>
    <w:docVar w:name="commondata" w:val="eyJoZGlkIjoiNzEyNDc4MGNkNDVmODQzOTEwYjIzYTViMmI2OWY4NDkifQ=="/>
  </w:docVars>
  <w:rsids>
    <w:rsidRoot w:val="00B52C69"/>
    <w:rsid w:val="00001D7D"/>
    <w:rsid w:val="000307B4"/>
    <w:rsid w:val="0004140D"/>
    <w:rsid w:val="000513A3"/>
    <w:rsid w:val="00087B68"/>
    <w:rsid w:val="000A2574"/>
    <w:rsid w:val="000B6BC6"/>
    <w:rsid w:val="001013CE"/>
    <w:rsid w:val="00135640"/>
    <w:rsid w:val="001373BF"/>
    <w:rsid w:val="001A484C"/>
    <w:rsid w:val="001D24E0"/>
    <w:rsid w:val="001E0BE8"/>
    <w:rsid w:val="001F0469"/>
    <w:rsid w:val="001F32CB"/>
    <w:rsid w:val="001F5BB5"/>
    <w:rsid w:val="00201821"/>
    <w:rsid w:val="00201BEF"/>
    <w:rsid w:val="00215F1B"/>
    <w:rsid w:val="00253120"/>
    <w:rsid w:val="002570B5"/>
    <w:rsid w:val="00271FD9"/>
    <w:rsid w:val="0027403B"/>
    <w:rsid w:val="0029486C"/>
    <w:rsid w:val="002A2C2F"/>
    <w:rsid w:val="002A7405"/>
    <w:rsid w:val="002C315C"/>
    <w:rsid w:val="002E3076"/>
    <w:rsid w:val="003531BE"/>
    <w:rsid w:val="003650A2"/>
    <w:rsid w:val="00373A14"/>
    <w:rsid w:val="003745F8"/>
    <w:rsid w:val="00395EBA"/>
    <w:rsid w:val="003C531E"/>
    <w:rsid w:val="003C620E"/>
    <w:rsid w:val="003E44A3"/>
    <w:rsid w:val="003F5D64"/>
    <w:rsid w:val="004005D2"/>
    <w:rsid w:val="00413DC0"/>
    <w:rsid w:val="00475192"/>
    <w:rsid w:val="004763F6"/>
    <w:rsid w:val="00477E34"/>
    <w:rsid w:val="004969E0"/>
    <w:rsid w:val="004A002F"/>
    <w:rsid w:val="004A0CA9"/>
    <w:rsid w:val="004E38E9"/>
    <w:rsid w:val="004E7B3A"/>
    <w:rsid w:val="004F1E26"/>
    <w:rsid w:val="004F6E59"/>
    <w:rsid w:val="00500E0F"/>
    <w:rsid w:val="00511137"/>
    <w:rsid w:val="00513249"/>
    <w:rsid w:val="00527119"/>
    <w:rsid w:val="00537092"/>
    <w:rsid w:val="0055727D"/>
    <w:rsid w:val="0058211E"/>
    <w:rsid w:val="00591CDC"/>
    <w:rsid w:val="006153DA"/>
    <w:rsid w:val="006219D7"/>
    <w:rsid w:val="006222A0"/>
    <w:rsid w:val="00634113"/>
    <w:rsid w:val="00636118"/>
    <w:rsid w:val="00637A4C"/>
    <w:rsid w:val="00640DD3"/>
    <w:rsid w:val="00642615"/>
    <w:rsid w:val="0064455A"/>
    <w:rsid w:val="0066093D"/>
    <w:rsid w:val="00676C6A"/>
    <w:rsid w:val="006D1F27"/>
    <w:rsid w:val="006D5581"/>
    <w:rsid w:val="006F065B"/>
    <w:rsid w:val="006F2A27"/>
    <w:rsid w:val="00740B46"/>
    <w:rsid w:val="00743145"/>
    <w:rsid w:val="00763D66"/>
    <w:rsid w:val="00764B2B"/>
    <w:rsid w:val="00790087"/>
    <w:rsid w:val="007C250C"/>
    <w:rsid w:val="007C3AC8"/>
    <w:rsid w:val="007D0B80"/>
    <w:rsid w:val="007F07C8"/>
    <w:rsid w:val="008019AC"/>
    <w:rsid w:val="00805C90"/>
    <w:rsid w:val="008125C1"/>
    <w:rsid w:val="00814A8F"/>
    <w:rsid w:val="00830788"/>
    <w:rsid w:val="00834C51"/>
    <w:rsid w:val="00886956"/>
    <w:rsid w:val="008A312B"/>
    <w:rsid w:val="008D03A6"/>
    <w:rsid w:val="0091207F"/>
    <w:rsid w:val="0093066B"/>
    <w:rsid w:val="009347B5"/>
    <w:rsid w:val="00951E4B"/>
    <w:rsid w:val="00974363"/>
    <w:rsid w:val="00983D6F"/>
    <w:rsid w:val="009B29CC"/>
    <w:rsid w:val="009D36EC"/>
    <w:rsid w:val="00A36F8B"/>
    <w:rsid w:val="00A50787"/>
    <w:rsid w:val="00A53236"/>
    <w:rsid w:val="00A70E67"/>
    <w:rsid w:val="00A71E63"/>
    <w:rsid w:val="00A73164"/>
    <w:rsid w:val="00A73D94"/>
    <w:rsid w:val="00A813E4"/>
    <w:rsid w:val="00A92234"/>
    <w:rsid w:val="00A97110"/>
    <w:rsid w:val="00AA65D7"/>
    <w:rsid w:val="00AC7335"/>
    <w:rsid w:val="00AD6DBB"/>
    <w:rsid w:val="00AE5764"/>
    <w:rsid w:val="00AF3D7F"/>
    <w:rsid w:val="00B209CE"/>
    <w:rsid w:val="00B52335"/>
    <w:rsid w:val="00B52C69"/>
    <w:rsid w:val="00B65B63"/>
    <w:rsid w:val="00B93037"/>
    <w:rsid w:val="00BA5F89"/>
    <w:rsid w:val="00BE7D52"/>
    <w:rsid w:val="00BF6611"/>
    <w:rsid w:val="00C64A93"/>
    <w:rsid w:val="00C747B6"/>
    <w:rsid w:val="00C92A4A"/>
    <w:rsid w:val="00CC4755"/>
    <w:rsid w:val="00CD4089"/>
    <w:rsid w:val="00CD5F2F"/>
    <w:rsid w:val="00D00B5C"/>
    <w:rsid w:val="00D13392"/>
    <w:rsid w:val="00D35F47"/>
    <w:rsid w:val="00D375E2"/>
    <w:rsid w:val="00D40AD7"/>
    <w:rsid w:val="00D8200B"/>
    <w:rsid w:val="00DA5256"/>
    <w:rsid w:val="00DE0B50"/>
    <w:rsid w:val="00E13B90"/>
    <w:rsid w:val="00E32978"/>
    <w:rsid w:val="00E43F34"/>
    <w:rsid w:val="00E6078D"/>
    <w:rsid w:val="00E74F06"/>
    <w:rsid w:val="00EC10C0"/>
    <w:rsid w:val="00EF5906"/>
    <w:rsid w:val="00F01BDA"/>
    <w:rsid w:val="00F049FD"/>
    <w:rsid w:val="00F1001B"/>
    <w:rsid w:val="00F165AA"/>
    <w:rsid w:val="00F3781D"/>
    <w:rsid w:val="00F659ED"/>
    <w:rsid w:val="00F72CFF"/>
    <w:rsid w:val="00F83BFB"/>
    <w:rsid w:val="00FB2BA0"/>
    <w:rsid w:val="00FC6DA5"/>
    <w:rsid w:val="00FD4328"/>
    <w:rsid w:val="01067F47"/>
    <w:rsid w:val="010725AB"/>
    <w:rsid w:val="011C7B3A"/>
    <w:rsid w:val="012C4957"/>
    <w:rsid w:val="014D6834"/>
    <w:rsid w:val="016A501B"/>
    <w:rsid w:val="016E7023"/>
    <w:rsid w:val="01875F83"/>
    <w:rsid w:val="018D2A55"/>
    <w:rsid w:val="019F2159"/>
    <w:rsid w:val="01BD3A11"/>
    <w:rsid w:val="01DF304B"/>
    <w:rsid w:val="02161EFF"/>
    <w:rsid w:val="021E0537"/>
    <w:rsid w:val="02207D53"/>
    <w:rsid w:val="0222637C"/>
    <w:rsid w:val="02312BAF"/>
    <w:rsid w:val="02414ED0"/>
    <w:rsid w:val="02554350"/>
    <w:rsid w:val="02593343"/>
    <w:rsid w:val="02810166"/>
    <w:rsid w:val="02946B68"/>
    <w:rsid w:val="029D0F13"/>
    <w:rsid w:val="029E1906"/>
    <w:rsid w:val="02A904F1"/>
    <w:rsid w:val="02AA04D3"/>
    <w:rsid w:val="02DD3848"/>
    <w:rsid w:val="02DD6170"/>
    <w:rsid w:val="02E2074E"/>
    <w:rsid w:val="02F51180"/>
    <w:rsid w:val="030E1720"/>
    <w:rsid w:val="03146394"/>
    <w:rsid w:val="03334FA5"/>
    <w:rsid w:val="03347CE8"/>
    <w:rsid w:val="033740CC"/>
    <w:rsid w:val="03416122"/>
    <w:rsid w:val="034411D3"/>
    <w:rsid w:val="03497D45"/>
    <w:rsid w:val="03606444"/>
    <w:rsid w:val="03AA6496"/>
    <w:rsid w:val="03AB778E"/>
    <w:rsid w:val="03D305AD"/>
    <w:rsid w:val="03DD17ED"/>
    <w:rsid w:val="03E87A96"/>
    <w:rsid w:val="03F41508"/>
    <w:rsid w:val="03F575A7"/>
    <w:rsid w:val="03F61C19"/>
    <w:rsid w:val="040C62D3"/>
    <w:rsid w:val="040D5EF7"/>
    <w:rsid w:val="0415374A"/>
    <w:rsid w:val="041832CF"/>
    <w:rsid w:val="043324A0"/>
    <w:rsid w:val="043B6C5D"/>
    <w:rsid w:val="04570531"/>
    <w:rsid w:val="045F7BBE"/>
    <w:rsid w:val="047160EE"/>
    <w:rsid w:val="04781D03"/>
    <w:rsid w:val="0489420D"/>
    <w:rsid w:val="04972D89"/>
    <w:rsid w:val="0497386F"/>
    <w:rsid w:val="049A4987"/>
    <w:rsid w:val="04AA5733"/>
    <w:rsid w:val="04B303CC"/>
    <w:rsid w:val="04BC0688"/>
    <w:rsid w:val="04BE2AC2"/>
    <w:rsid w:val="04D52BC4"/>
    <w:rsid w:val="04DA5F7E"/>
    <w:rsid w:val="04F22935"/>
    <w:rsid w:val="04F801C5"/>
    <w:rsid w:val="04F94135"/>
    <w:rsid w:val="04FC2150"/>
    <w:rsid w:val="05024B15"/>
    <w:rsid w:val="05026B38"/>
    <w:rsid w:val="05173444"/>
    <w:rsid w:val="051C0F6D"/>
    <w:rsid w:val="05243CE6"/>
    <w:rsid w:val="05284673"/>
    <w:rsid w:val="052E0A5C"/>
    <w:rsid w:val="05347FC9"/>
    <w:rsid w:val="05372E80"/>
    <w:rsid w:val="053B06BD"/>
    <w:rsid w:val="054170C1"/>
    <w:rsid w:val="05501C78"/>
    <w:rsid w:val="055211F9"/>
    <w:rsid w:val="05595767"/>
    <w:rsid w:val="05607110"/>
    <w:rsid w:val="056617B7"/>
    <w:rsid w:val="056A71E5"/>
    <w:rsid w:val="0573031A"/>
    <w:rsid w:val="05920C32"/>
    <w:rsid w:val="05947E7D"/>
    <w:rsid w:val="05BF475F"/>
    <w:rsid w:val="05CB09AA"/>
    <w:rsid w:val="05D01C11"/>
    <w:rsid w:val="05E908E7"/>
    <w:rsid w:val="06075DCC"/>
    <w:rsid w:val="06160AA4"/>
    <w:rsid w:val="062F6411"/>
    <w:rsid w:val="0652643A"/>
    <w:rsid w:val="065C4DDA"/>
    <w:rsid w:val="065D0EA1"/>
    <w:rsid w:val="06750519"/>
    <w:rsid w:val="06873596"/>
    <w:rsid w:val="068767F8"/>
    <w:rsid w:val="068A1845"/>
    <w:rsid w:val="06B42FEC"/>
    <w:rsid w:val="06C804EC"/>
    <w:rsid w:val="06D54582"/>
    <w:rsid w:val="06EB7183"/>
    <w:rsid w:val="06F50E69"/>
    <w:rsid w:val="070327C5"/>
    <w:rsid w:val="070C1BB5"/>
    <w:rsid w:val="070E16BD"/>
    <w:rsid w:val="071E1D2E"/>
    <w:rsid w:val="07253F1A"/>
    <w:rsid w:val="07387F6B"/>
    <w:rsid w:val="07461095"/>
    <w:rsid w:val="07713726"/>
    <w:rsid w:val="07BD4A53"/>
    <w:rsid w:val="07D73FEC"/>
    <w:rsid w:val="07DF579E"/>
    <w:rsid w:val="07E3169B"/>
    <w:rsid w:val="07ED15CF"/>
    <w:rsid w:val="07FA54CB"/>
    <w:rsid w:val="07FD7AD8"/>
    <w:rsid w:val="08026C0A"/>
    <w:rsid w:val="080319C8"/>
    <w:rsid w:val="083B489B"/>
    <w:rsid w:val="0846172A"/>
    <w:rsid w:val="085A0806"/>
    <w:rsid w:val="08627D20"/>
    <w:rsid w:val="08636FCD"/>
    <w:rsid w:val="08682867"/>
    <w:rsid w:val="086844BE"/>
    <w:rsid w:val="08776B26"/>
    <w:rsid w:val="088406C4"/>
    <w:rsid w:val="08914694"/>
    <w:rsid w:val="0895515B"/>
    <w:rsid w:val="089A1DF0"/>
    <w:rsid w:val="089C62DE"/>
    <w:rsid w:val="08A52BD1"/>
    <w:rsid w:val="08A9401F"/>
    <w:rsid w:val="08BB7C11"/>
    <w:rsid w:val="08BE33DD"/>
    <w:rsid w:val="08CB0C88"/>
    <w:rsid w:val="08E84C95"/>
    <w:rsid w:val="0908635C"/>
    <w:rsid w:val="09135369"/>
    <w:rsid w:val="091E6020"/>
    <w:rsid w:val="092F7A54"/>
    <w:rsid w:val="093C56F0"/>
    <w:rsid w:val="093D3981"/>
    <w:rsid w:val="09402E97"/>
    <w:rsid w:val="09494939"/>
    <w:rsid w:val="094F118F"/>
    <w:rsid w:val="095E5D71"/>
    <w:rsid w:val="096F61D9"/>
    <w:rsid w:val="09706BD7"/>
    <w:rsid w:val="098D6E92"/>
    <w:rsid w:val="0996700D"/>
    <w:rsid w:val="09980455"/>
    <w:rsid w:val="09B65E03"/>
    <w:rsid w:val="09C1574B"/>
    <w:rsid w:val="09EA4FA4"/>
    <w:rsid w:val="09FE38DB"/>
    <w:rsid w:val="0A0074EB"/>
    <w:rsid w:val="0A1350BF"/>
    <w:rsid w:val="0A2D4273"/>
    <w:rsid w:val="0A2D5A95"/>
    <w:rsid w:val="0A3022FD"/>
    <w:rsid w:val="0A495B19"/>
    <w:rsid w:val="0A4E0152"/>
    <w:rsid w:val="0A557E34"/>
    <w:rsid w:val="0A5F741E"/>
    <w:rsid w:val="0A631455"/>
    <w:rsid w:val="0A787CC7"/>
    <w:rsid w:val="0A7D5642"/>
    <w:rsid w:val="0A8A3AEF"/>
    <w:rsid w:val="0A976258"/>
    <w:rsid w:val="0A9A0644"/>
    <w:rsid w:val="0AB60E5D"/>
    <w:rsid w:val="0ABB49EE"/>
    <w:rsid w:val="0ABE682D"/>
    <w:rsid w:val="0AC35600"/>
    <w:rsid w:val="0AC8161F"/>
    <w:rsid w:val="0ACA4994"/>
    <w:rsid w:val="0AE02135"/>
    <w:rsid w:val="0AE65A8D"/>
    <w:rsid w:val="0AE97D87"/>
    <w:rsid w:val="0AFA1581"/>
    <w:rsid w:val="0AFE5AF2"/>
    <w:rsid w:val="0B0F2009"/>
    <w:rsid w:val="0B3A6F48"/>
    <w:rsid w:val="0B4E7526"/>
    <w:rsid w:val="0B52657A"/>
    <w:rsid w:val="0B545A41"/>
    <w:rsid w:val="0B546CD6"/>
    <w:rsid w:val="0B5B69B4"/>
    <w:rsid w:val="0B73448C"/>
    <w:rsid w:val="0B743DC6"/>
    <w:rsid w:val="0B82324B"/>
    <w:rsid w:val="0B82524A"/>
    <w:rsid w:val="0B883060"/>
    <w:rsid w:val="0B883DAB"/>
    <w:rsid w:val="0BAE3450"/>
    <w:rsid w:val="0BBE41E0"/>
    <w:rsid w:val="0BED57C5"/>
    <w:rsid w:val="0BEF0524"/>
    <w:rsid w:val="0BF55763"/>
    <w:rsid w:val="0BF71CBF"/>
    <w:rsid w:val="0BF914C8"/>
    <w:rsid w:val="0C013DEE"/>
    <w:rsid w:val="0C022FA6"/>
    <w:rsid w:val="0C061717"/>
    <w:rsid w:val="0C0D02A3"/>
    <w:rsid w:val="0C0F34E4"/>
    <w:rsid w:val="0C1A57C9"/>
    <w:rsid w:val="0C204E36"/>
    <w:rsid w:val="0C232D03"/>
    <w:rsid w:val="0C2B2DDA"/>
    <w:rsid w:val="0C2C6FA5"/>
    <w:rsid w:val="0C2D55EF"/>
    <w:rsid w:val="0C410C6D"/>
    <w:rsid w:val="0C5105B4"/>
    <w:rsid w:val="0C565296"/>
    <w:rsid w:val="0C5B03CC"/>
    <w:rsid w:val="0C7355F6"/>
    <w:rsid w:val="0C777986"/>
    <w:rsid w:val="0C8934EA"/>
    <w:rsid w:val="0C8C4469"/>
    <w:rsid w:val="0C976466"/>
    <w:rsid w:val="0C993553"/>
    <w:rsid w:val="0C993E5D"/>
    <w:rsid w:val="0C9C1353"/>
    <w:rsid w:val="0CA14B8A"/>
    <w:rsid w:val="0CB26E28"/>
    <w:rsid w:val="0CCE69FD"/>
    <w:rsid w:val="0CD217CC"/>
    <w:rsid w:val="0CE83AA1"/>
    <w:rsid w:val="0D1A1FF2"/>
    <w:rsid w:val="0D2230A4"/>
    <w:rsid w:val="0D2A2E96"/>
    <w:rsid w:val="0D2B783A"/>
    <w:rsid w:val="0D2E775F"/>
    <w:rsid w:val="0D4E33F1"/>
    <w:rsid w:val="0D5B1C59"/>
    <w:rsid w:val="0D712774"/>
    <w:rsid w:val="0D7812B4"/>
    <w:rsid w:val="0D7852BA"/>
    <w:rsid w:val="0D8019E7"/>
    <w:rsid w:val="0D836F66"/>
    <w:rsid w:val="0D875FC2"/>
    <w:rsid w:val="0D9824AA"/>
    <w:rsid w:val="0D9A1106"/>
    <w:rsid w:val="0D9B0513"/>
    <w:rsid w:val="0DA11D0B"/>
    <w:rsid w:val="0DAD6629"/>
    <w:rsid w:val="0DAE783F"/>
    <w:rsid w:val="0DB77C37"/>
    <w:rsid w:val="0DBA161F"/>
    <w:rsid w:val="0DC1645D"/>
    <w:rsid w:val="0DC64C83"/>
    <w:rsid w:val="0DD05552"/>
    <w:rsid w:val="0DD12F6F"/>
    <w:rsid w:val="0DD2389E"/>
    <w:rsid w:val="0DE676FA"/>
    <w:rsid w:val="0DF8604A"/>
    <w:rsid w:val="0E0258D5"/>
    <w:rsid w:val="0E087826"/>
    <w:rsid w:val="0E0F735C"/>
    <w:rsid w:val="0E38155F"/>
    <w:rsid w:val="0E4761EA"/>
    <w:rsid w:val="0E492E09"/>
    <w:rsid w:val="0E633983"/>
    <w:rsid w:val="0E6E1E85"/>
    <w:rsid w:val="0E7803AF"/>
    <w:rsid w:val="0E902EEB"/>
    <w:rsid w:val="0E9C1C03"/>
    <w:rsid w:val="0E9E5B30"/>
    <w:rsid w:val="0EA51EEA"/>
    <w:rsid w:val="0EAB7D3B"/>
    <w:rsid w:val="0EB627E9"/>
    <w:rsid w:val="0ED14501"/>
    <w:rsid w:val="0ED77C71"/>
    <w:rsid w:val="0EDB4186"/>
    <w:rsid w:val="0EE82EAA"/>
    <w:rsid w:val="0F0B2CE5"/>
    <w:rsid w:val="0F123C7C"/>
    <w:rsid w:val="0F1C5BB5"/>
    <w:rsid w:val="0F2628E9"/>
    <w:rsid w:val="0F2D5616"/>
    <w:rsid w:val="0F341D16"/>
    <w:rsid w:val="0F3505A2"/>
    <w:rsid w:val="0F463BD9"/>
    <w:rsid w:val="0F4B5227"/>
    <w:rsid w:val="0F57504F"/>
    <w:rsid w:val="0F983D71"/>
    <w:rsid w:val="0FA046D2"/>
    <w:rsid w:val="0FA5094A"/>
    <w:rsid w:val="0FB95DBB"/>
    <w:rsid w:val="0FD65D9C"/>
    <w:rsid w:val="0FEE1D41"/>
    <w:rsid w:val="0FF255C2"/>
    <w:rsid w:val="0FF67A04"/>
    <w:rsid w:val="10051CEB"/>
    <w:rsid w:val="10172FDE"/>
    <w:rsid w:val="1017751A"/>
    <w:rsid w:val="101F1098"/>
    <w:rsid w:val="10245AF3"/>
    <w:rsid w:val="1025551F"/>
    <w:rsid w:val="102B20F0"/>
    <w:rsid w:val="10345EDB"/>
    <w:rsid w:val="104B04B3"/>
    <w:rsid w:val="10522FFC"/>
    <w:rsid w:val="10523E37"/>
    <w:rsid w:val="10662EB8"/>
    <w:rsid w:val="106B2C5C"/>
    <w:rsid w:val="106C5CE6"/>
    <w:rsid w:val="106E5AD6"/>
    <w:rsid w:val="10A46F4C"/>
    <w:rsid w:val="10A678C4"/>
    <w:rsid w:val="10AB1EAE"/>
    <w:rsid w:val="10C31CBA"/>
    <w:rsid w:val="10CF1A8B"/>
    <w:rsid w:val="10D15A80"/>
    <w:rsid w:val="10DD1D26"/>
    <w:rsid w:val="110F0E9D"/>
    <w:rsid w:val="111E0003"/>
    <w:rsid w:val="11291727"/>
    <w:rsid w:val="113218D8"/>
    <w:rsid w:val="113349B6"/>
    <w:rsid w:val="114B1DB2"/>
    <w:rsid w:val="1150758D"/>
    <w:rsid w:val="11A87A05"/>
    <w:rsid w:val="11A923AE"/>
    <w:rsid w:val="11B42D14"/>
    <w:rsid w:val="11C4222D"/>
    <w:rsid w:val="120C5A7C"/>
    <w:rsid w:val="121D0016"/>
    <w:rsid w:val="12394DD8"/>
    <w:rsid w:val="12452120"/>
    <w:rsid w:val="124532B2"/>
    <w:rsid w:val="12453D4A"/>
    <w:rsid w:val="12567B89"/>
    <w:rsid w:val="12AA36ED"/>
    <w:rsid w:val="12BB110C"/>
    <w:rsid w:val="12CE3DF7"/>
    <w:rsid w:val="12F263F0"/>
    <w:rsid w:val="12F63F43"/>
    <w:rsid w:val="13003045"/>
    <w:rsid w:val="131C6397"/>
    <w:rsid w:val="131F5748"/>
    <w:rsid w:val="13342C80"/>
    <w:rsid w:val="13421346"/>
    <w:rsid w:val="13620C73"/>
    <w:rsid w:val="1367477E"/>
    <w:rsid w:val="137D492D"/>
    <w:rsid w:val="13807C44"/>
    <w:rsid w:val="13B42E85"/>
    <w:rsid w:val="13B7519E"/>
    <w:rsid w:val="13C116EC"/>
    <w:rsid w:val="13F41A8B"/>
    <w:rsid w:val="13F640B4"/>
    <w:rsid w:val="140A516B"/>
    <w:rsid w:val="140C0BAE"/>
    <w:rsid w:val="14157DBF"/>
    <w:rsid w:val="143746D8"/>
    <w:rsid w:val="1437633D"/>
    <w:rsid w:val="144878FD"/>
    <w:rsid w:val="14513A3E"/>
    <w:rsid w:val="14702443"/>
    <w:rsid w:val="14712497"/>
    <w:rsid w:val="14792B8B"/>
    <w:rsid w:val="147B4A45"/>
    <w:rsid w:val="148920FA"/>
    <w:rsid w:val="14900497"/>
    <w:rsid w:val="14921CA2"/>
    <w:rsid w:val="149F77FC"/>
    <w:rsid w:val="14C05E21"/>
    <w:rsid w:val="14C46904"/>
    <w:rsid w:val="14C7072E"/>
    <w:rsid w:val="150D2F95"/>
    <w:rsid w:val="151142A8"/>
    <w:rsid w:val="15133A77"/>
    <w:rsid w:val="151A79BC"/>
    <w:rsid w:val="151E64D0"/>
    <w:rsid w:val="15223071"/>
    <w:rsid w:val="15434424"/>
    <w:rsid w:val="15467E8D"/>
    <w:rsid w:val="15473314"/>
    <w:rsid w:val="155565B1"/>
    <w:rsid w:val="157649CF"/>
    <w:rsid w:val="157B37BF"/>
    <w:rsid w:val="15870D61"/>
    <w:rsid w:val="1595062F"/>
    <w:rsid w:val="15983910"/>
    <w:rsid w:val="15A128D3"/>
    <w:rsid w:val="15B714AE"/>
    <w:rsid w:val="15CC3BD8"/>
    <w:rsid w:val="15D95694"/>
    <w:rsid w:val="15F31DD9"/>
    <w:rsid w:val="161056FD"/>
    <w:rsid w:val="162837A5"/>
    <w:rsid w:val="163F45A1"/>
    <w:rsid w:val="16430FEF"/>
    <w:rsid w:val="164B41FA"/>
    <w:rsid w:val="16564FF0"/>
    <w:rsid w:val="165E2DC7"/>
    <w:rsid w:val="167332F4"/>
    <w:rsid w:val="16745353"/>
    <w:rsid w:val="16783D2A"/>
    <w:rsid w:val="16834AD2"/>
    <w:rsid w:val="16A37219"/>
    <w:rsid w:val="16AF5EF9"/>
    <w:rsid w:val="16BC2CDC"/>
    <w:rsid w:val="16D12158"/>
    <w:rsid w:val="16D15F6C"/>
    <w:rsid w:val="16F22753"/>
    <w:rsid w:val="16FE448A"/>
    <w:rsid w:val="17046670"/>
    <w:rsid w:val="171E1747"/>
    <w:rsid w:val="172520D5"/>
    <w:rsid w:val="173E7CE8"/>
    <w:rsid w:val="174677F9"/>
    <w:rsid w:val="17537A84"/>
    <w:rsid w:val="1759718D"/>
    <w:rsid w:val="176256CF"/>
    <w:rsid w:val="1764483D"/>
    <w:rsid w:val="17656556"/>
    <w:rsid w:val="17723223"/>
    <w:rsid w:val="177C7E57"/>
    <w:rsid w:val="17884846"/>
    <w:rsid w:val="179C07AA"/>
    <w:rsid w:val="179D22FD"/>
    <w:rsid w:val="17BC2238"/>
    <w:rsid w:val="17BE6271"/>
    <w:rsid w:val="17BF67CA"/>
    <w:rsid w:val="17C41FF8"/>
    <w:rsid w:val="17CB75C0"/>
    <w:rsid w:val="17DF121C"/>
    <w:rsid w:val="17F058F0"/>
    <w:rsid w:val="17F9232D"/>
    <w:rsid w:val="17FF4F89"/>
    <w:rsid w:val="180B4DD4"/>
    <w:rsid w:val="18130975"/>
    <w:rsid w:val="182A101D"/>
    <w:rsid w:val="18364252"/>
    <w:rsid w:val="18440EB5"/>
    <w:rsid w:val="184A3A2C"/>
    <w:rsid w:val="184A5048"/>
    <w:rsid w:val="185F25C3"/>
    <w:rsid w:val="1861678C"/>
    <w:rsid w:val="186753F2"/>
    <w:rsid w:val="186A3112"/>
    <w:rsid w:val="187A6C6A"/>
    <w:rsid w:val="188B5888"/>
    <w:rsid w:val="18C56C25"/>
    <w:rsid w:val="18C60F4E"/>
    <w:rsid w:val="18CB5324"/>
    <w:rsid w:val="18D554A8"/>
    <w:rsid w:val="18D97F0A"/>
    <w:rsid w:val="18E050FA"/>
    <w:rsid w:val="18EB370E"/>
    <w:rsid w:val="18F83EEA"/>
    <w:rsid w:val="18FD0B50"/>
    <w:rsid w:val="18FD567C"/>
    <w:rsid w:val="18FE2A52"/>
    <w:rsid w:val="19020AEB"/>
    <w:rsid w:val="190A38E5"/>
    <w:rsid w:val="191563F8"/>
    <w:rsid w:val="19425327"/>
    <w:rsid w:val="19442D8A"/>
    <w:rsid w:val="19716648"/>
    <w:rsid w:val="198958DC"/>
    <w:rsid w:val="19900ACD"/>
    <w:rsid w:val="19931777"/>
    <w:rsid w:val="19AB692E"/>
    <w:rsid w:val="19C600DC"/>
    <w:rsid w:val="19CF406A"/>
    <w:rsid w:val="19D82C99"/>
    <w:rsid w:val="19E504DE"/>
    <w:rsid w:val="19EE6E1E"/>
    <w:rsid w:val="19EF40AF"/>
    <w:rsid w:val="19F074D6"/>
    <w:rsid w:val="19F20F7E"/>
    <w:rsid w:val="19F3432F"/>
    <w:rsid w:val="19F64052"/>
    <w:rsid w:val="1A0F5CD2"/>
    <w:rsid w:val="1A1F5240"/>
    <w:rsid w:val="1A273CFA"/>
    <w:rsid w:val="1A302D93"/>
    <w:rsid w:val="1A3F5B11"/>
    <w:rsid w:val="1A5C5DBA"/>
    <w:rsid w:val="1A6E0CB5"/>
    <w:rsid w:val="1A874CEE"/>
    <w:rsid w:val="1A8E1C54"/>
    <w:rsid w:val="1A925B79"/>
    <w:rsid w:val="1A9B4243"/>
    <w:rsid w:val="1A9C55EC"/>
    <w:rsid w:val="1A9D4ED2"/>
    <w:rsid w:val="1AAD499A"/>
    <w:rsid w:val="1AAE3BCB"/>
    <w:rsid w:val="1AAE7565"/>
    <w:rsid w:val="1AB06B07"/>
    <w:rsid w:val="1AB25A64"/>
    <w:rsid w:val="1AC861EA"/>
    <w:rsid w:val="1AEE3FD8"/>
    <w:rsid w:val="1B13588F"/>
    <w:rsid w:val="1B290834"/>
    <w:rsid w:val="1B37105C"/>
    <w:rsid w:val="1B431763"/>
    <w:rsid w:val="1B4502E5"/>
    <w:rsid w:val="1B4953AE"/>
    <w:rsid w:val="1B5B01F7"/>
    <w:rsid w:val="1BA84B06"/>
    <w:rsid w:val="1BB25B30"/>
    <w:rsid w:val="1BC51850"/>
    <w:rsid w:val="1BCF3AAF"/>
    <w:rsid w:val="1BE07DDA"/>
    <w:rsid w:val="1BEC2312"/>
    <w:rsid w:val="1BF31B5B"/>
    <w:rsid w:val="1BF46AAA"/>
    <w:rsid w:val="1BFA07E6"/>
    <w:rsid w:val="1BFA733E"/>
    <w:rsid w:val="1C026A6D"/>
    <w:rsid w:val="1C157E41"/>
    <w:rsid w:val="1C191655"/>
    <w:rsid w:val="1C21573E"/>
    <w:rsid w:val="1C2A6DB9"/>
    <w:rsid w:val="1C387F9A"/>
    <w:rsid w:val="1C5607EB"/>
    <w:rsid w:val="1C6956A5"/>
    <w:rsid w:val="1C7232AC"/>
    <w:rsid w:val="1C7F7817"/>
    <w:rsid w:val="1C8579FE"/>
    <w:rsid w:val="1C883E52"/>
    <w:rsid w:val="1C8F429C"/>
    <w:rsid w:val="1CA3662D"/>
    <w:rsid w:val="1CB14001"/>
    <w:rsid w:val="1CCC50BD"/>
    <w:rsid w:val="1CD76165"/>
    <w:rsid w:val="1CE0501D"/>
    <w:rsid w:val="1CF05D7F"/>
    <w:rsid w:val="1CF41B27"/>
    <w:rsid w:val="1CFB3388"/>
    <w:rsid w:val="1D0567F3"/>
    <w:rsid w:val="1D0D726F"/>
    <w:rsid w:val="1D244BD5"/>
    <w:rsid w:val="1D2D66D4"/>
    <w:rsid w:val="1D3652AE"/>
    <w:rsid w:val="1D465123"/>
    <w:rsid w:val="1D516702"/>
    <w:rsid w:val="1D555862"/>
    <w:rsid w:val="1D5671C6"/>
    <w:rsid w:val="1D7568C3"/>
    <w:rsid w:val="1D7D2ED6"/>
    <w:rsid w:val="1D7D4084"/>
    <w:rsid w:val="1D825A6E"/>
    <w:rsid w:val="1D8A6C47"/>
    <w:rsid w:val="1DA82623"/>
    <w:rsid w:val="1DB73266"/>
    <w:rsid w:val="1DBB2741"/>
    <w:rsid w:val="1DC102C4"/>
    <w:rsid w:val="1DCE7F1D"/>
    <w:rsid w:val="1DD31492"/>
    <w:rsid w:val="1DD77B56"/>
    <w:rsid w:val="1DDF7B1C"/>
    <w:rsid w:val="1E102E52"/>
    <w:rsid w:val="1E107A60"/>
    <w:rsid w:val="1E111D15"/>
    <w:rsid w:val="1E1B55FB"/>
    <w:rsid w:val="1E257F7B"/>
    <w:rsid w:val="1E61625E"/>
    <w:rsid w:val="1E6C125D"/>
    <w:rsid w:val="1E817CD5"/>
    <w:rsid w:val="1E9A61E6"/>
    <w:rsid w:val="1E9C5231"/>
    <w:rsid w:val="1EC56253"/>
    <w:rsid w:val="1EDD5063"/>
    <w:rsid w:val="1EE37A12"/>
    <w:rsid w:val="1EF6332B"/>
    <w:rsid w:val="1F00135E"/>
    <w:rsid w:val="1F031534"/>
    <w:rsid w:val="1F183D86"/>
    <w:rsid w:val="1F1B7D4D"/>
    <w:rsid w:val="1F1D622E"/>
    <w:rsid w:val="1F297657"/>
    <w:rsid w:val="1F2B62D7"/>
    <w:rsid w:val="1F3009F5"/>
    <w:rsid w:val="1F4228A2"/>
    <w:rsid w:val="1F431C0A"/>
    <w:rsid w:val="1F751A3B"/>
    <w:rsid w:val="1F770339"/>
    <w:rsid w:val="1F7F12C5"/>
    <w:rsid w:val="1F910E75"/>
    <w:rsid w:val="1F926446"/>
    <w:rsid w:val="1FB34F4C"/>
    <w:rsid w:val="1FD549EB"/>
    <w:rsid w:val="1FD75401"/>
    <w:rsid w:val="1FDA71C6"/>
    <w:rsid w:val="1FEA6C66"/>
    <w:rsid w:val="20022515"/>
    <w:rsid w:val="200F4516"/>
    <w:rsid w:val="201C533B"/>
    <w:rsid w:val="201D038D"/>
    <w:rsid w:val="203E1927"/>
    <w:rsid w:val="20480BA4"/>
    <w:rsid w:val="20552DDE"/>
    <w:rsid w:val="20556FE8"/>
    <w:rsid w:val="20557019"/>
    <w:rsid w:val="205A7B36"/>
    <w:rsid w:val="2071713C"/>
    <w:rsid w:val="20743F7A"/>
    <w:rsid w:val="207A1E61"/>
    <w:rsid w:val="20877527"/>
    <w:rsid w:val="20C300AA"/>
    <w:rsid w:val="20C924A5"/>
    <w:rsid w:val="20D834B7"/>
    <w:rsid w:val="20E210BF"/>
    <w:rsid w:val="20E8723B"/>
    <w:rsid w:val="20EE1D7A"/>
    <w:rsid w:val="20F96602"/>
    <w:rsid w:val="210245BF"/>
    <w:rsid w:val="21197676"/>
    <w:rsid w:val="21206C8B"/>
    <w:rsid w:val="21347BC2"/>
    <w:rsid w:val="21407B0B"/>
    <w:rsid w:val="214D0B52"/>
    <w:rsid w:val="215044DE"/>
    <w:rsid w:val="215E3F9A"/>
    <w:rsid w:val="216C1DC6"/>
    <w:rsid w:val="21794387"/>
    <w:rsid w:val="218F39B0"/>
    <w:rsid w:val="21963F2C"/>
    <w:rsid w:val="21B25A96"/>
    <w:rsid w:val="21C25948"/>
    <w:rsid w:val="21D25408"/>
    <w:rsid w:val="21E51296"/>
    <w:rsid w:val="21E54636"/>
    <w:rsid w:val="21EF1BAE"/>
    <w:rsid w:val="21F1175C"/>
    <w:rsid w:val="21F3505E"/>
    <w:rsid w:val="21FE23EC"/>
    <w:rsid w:val="2204483A"/>
    <w:rsid w:val="22111B65"/>
    <w:rsid w:val="22152FB5"/>
    <w:rsid w:val="2217680B"/>
    <w:rsid w:val="221876FC"/>
    <w:rsid w:val="22227DAF"/>
    <w:rsid w:val="22266175"/>
    <w:rsid w:val="224656CD"/>
    <w:rsid w:val="2276408F"/>
    <w:rsid w:val="22AF6566"/>
    <w:rsid w:val="22B41BC7"/>
    <w:rsid w:val="22C00371"/>
    <w:rsid w:val="22C434BA"/>
    <w:rsid w:val="22D01EAC"/>
    <w:rsid w:val="22D906C5"/>
    <w:rsid w:val="22FC58ED"/>
    <w:rsid w:val="2338258E"/>
    <w:rsid w:val="233A3917"/>
    <w:rsid w:val="23435D96"/>
    <w:rsid w:val="23491143"/>
    <w:rsid w:val="235C3721"/>
    <w:rsid w:val="2370156E"/>
    <w:rsid w:val="2370207A"/>
    <w:rsid w:val="23781CFD"/>
    <w:rsid w:val="238456C0"/>
    <w:rsid w:val="23983F05"/>
    <w:rsid w:val="23B247CF"/>
    <w:rsid w:val="23D87858"/>
    <w:rsid w:val="23DC4C8D"/>
    <w:rsid w:val="23EC6436"/>
    <w:rsid w:val="23EF29C9"/>
    <w:rsid w:val="23F87710"/>
    <w:rsid w:val="24150449"/>
    <w:rsid w:val="241F13DC"/>
    <w:rsid w:val="24226B5F"/>
    <w:rsid w:val="24280A03"/>
    <w:rsid w:val="242820AE"/>
    <w:rsid w:val="242E097E"/>
    <w:rsid w:val="245669FE"/>
    <w:rsid w:val="245C78E1"/>
    <w:rsid w:val="247B3787"/>
    <w:rsid w:val="248E648A"/>
    <w:rsid w:val="24922D46"/>
    <w:rsid w:val="24A42FF5"/>
    <w:rsid w:val="24A82D15"/>
    <w:rsid w:val="24B82A9F"/>
    <w:rsid w:val="24C778D6"/>
    <w:rsid w:val="24D047A9"/>
    <w:rsid w:val="24D31016"/>
    <w:rsid w:val="252568E6"/>
    <w:rsid w:val="25480F1C"/>
    <w:rsid w:val="25496323"/>
    <w:rsid w:val="2552171A"/>
    <w:rsid w:val="25700092"/>
    <w:rsid w:val="258C2468"/>
    <w:rsid w:val="25BB4636"/>
    <w:rsid w:val="25D71840"/>
    <w:rsid w:val="25D73505"/>
    <w:rsid w:val="25D746EC"/>
    <w:rsid w:val="261A406C"/>
    <w:rsid w:val="261A7F10"/>
    <w:rsid w:val="26483BD6"/>
    <w:rsid w:val="26583A1F"/>
    <w:rsid w:val="265F1C67"/>
    <w:rsid w:val="266611C5"/>
    <w:rsid w:val="266C57DF"/>
    <w:rsid w:val="266D1CAE"/>
    <w:rsid w:val="26861605"/>
    <w:rsid w:val="26863D2E"/>
    <w:rsid w:val="26A7561E"/>
    <w:rsid w:val="26A942D4"/>
    <w:rsid w:val="26B148E1"/>
    <w:rsid w:val="26B2794A"/>
    <w:rsid w:val="26B32C35"/>
    <w:rsid w:val="26D062BD"/>
    <w:rsid w:val="26FB68EC"/>
    <w:rsid w:val="27166ED3"/>
    <w:rsid w:val="27226E78"/>
    <w:rsid w:val="27232773"/>
    <w:rsid w:val="27272BCF"/>
    <w:rsid w:val="272B1BDF"/>
    <w:rsid w:val="273B4DEB"/>
    <w:rsid w:val="27484D5C"/>
    <w:rsid w:val="276B57E4"/>
    <w:rsid w:val="276D74BB"/>
    <w:rsid w:val="277129CA"/>
    <w:rsid w:val="27720C5C"/>
    <w:rsid w:val="277241A4"/>
    <w:rsid w:val="27987EEC"/>
    <w:rsid w:val="27AD46B7"/>
    <w:rsid w:val="27AF5F43"/>
    <w:rsid w:val="27B34C2E"/>
    <w:rsid w:val="27C91422"/>
    <w:rsid w:val="27D24D0C"/>
    <w:rsid w:val="27EA634B"/>
    <w:rsid w:val="27EC6C77"/>
    <w:rsid w:val="27F847A5"/>
    <w:rsid w:val="27FB5BAA"/>
    <w:rsid w:val="27FE7C4F"/>
    <w:rsid w:val="280D74D9"/>
    <w:rsid w:val="28277956"/>
    <w:rsid w:val="28286156"/>
    <w:rsid w:val="28344C68"/>
    <w:rsid w:val="284E69C7"/>
    <w:rsid w:val="286A7D17"/>
    <w:rsid w:val="288967A9"/>
    <w:rsid w:val="28BB293B"/>
    <w:rsid w:val="28C918D3"/>
    <w:rsid w:val="28CB2C05"/>
    <w:rsid w:val="28CD37CF"/>
    <w:rsid w:val="28D50868"/>
    <w:rsid w:val="28DF1DFA"/>
    <w:rsid w:val="28E07C71"/>
    <w:rsid w:val="28E33377"/>
    <w:rsid w:val="28ED5061"/>
    <w:rsid w:val="28EF7F0A"/>
    <w:rsid w:val="2917616D"/>
    <w:rsid w:val="291E2BEC"/>
    <w:rsid w:val="29201DD9"/>
    <w:rsid w:val="2932486E"/>
    <w:rsid w:val="29354B1D"/>
    <w:rsid w:val="29544420"/>
    <w:rsid w:val="295F0482"/>
    <w:rsid w:val="29631BCB"/>
    <w:rsid w:val="2968007C"/>
    <w:rsid w:val="296C48ED"/>
    <w:rsid w:val="29732A17"/>
    <w:rsid w:val="29762B91"/>
    <w:rsid w:val="298D617C"/>
    <w:rsid w:val="298D63D1"/>
    <w:rsid w:val="299D14DD"/>
    <w:rsid w:val="29AB61FE"/>
    <w:rsid w:val="29BC627A"/>
    <w:rsid w:val="29C75831"/>
    <w:rsid w:val="29D515A8"/>
    <w:rsid w:val="29D673E3"/>
    <w:rsid w:val="29E13858"/>
    <w:rsid w:val="29F12942"/>
    <w:rsid w:val="29FD72C7"/>
    <w:rsid w:val="2A035709"/>
    <w:rsid w:val="2A173704"/>
    <w:rsid w:val="2A2F4BAE"/>
    <w:rsid w:val="2A3454A8"/>
    <w:rsid w:val="2A380FE3"/>
    <w:rsid w:val="2A6074CB"/>
    <w:rsid w:val="2A6B4AAD"/>
    <w:rsid w:val="2A762EA6"/>
    <w:rsid w:val="2A77606B"/>
    <w:rsid w:val="2A824942"/>
    <w:rsid w:val="2A8F7350"/>
    <w:rsid w:val="2A9C4644"/>
    <w:rsid w:val="2AC427B4"/>
    <w:rsid w:val="2AC46210"/>
    <w:rsid w:val="2AF6537D"/>
    <w:rsid w:val="2B145787"/>
    <w:rsid w:val="2B1C60D4"/>
    <w:rsid w:val="2B292E8F"/>
    <w:rsid w:val="2B375D72"/>
    <w:rsid w:val="2B503FE8"/>
    <w:rsid w:val="2B6B1C83"/>
    <w:rsid w:val="2B7841CF"/>
    <w:rsid w:val="2B9A5090"/>
    <w:rsid w:val="2B9C2BD4"/>
    <w:rsid w:val="2BB46091"/>
    <w:rsid w:val="2BBA451F"/>
    <w:rsid w:val="2BBE37FE"/>
    <w:rsid w:val="2BC63CB4"/>
    <w:rsid w:val="2BE13680"/>
    <w:rsid w:val="2BFF3F22"/>
    <w:rsid w:val="2C0971DB"/>
    <w:rsid w:val="2C0D7FB5"/>
    <w:rsid w:val="2C2F0F61"/>
    <w:rsid w:val="2C381121"/>
    <w:rsid w:val="2C4545DB"/>
    <w:rsid w:val="2C74635A"/>
    <w:rsid w:val="2C783DDF"/>
    <w:rsid w:val="2C8132C4"/>
    <w:rsid w:val="2D0A264F"/>
    <w:rsid w:val="2D1070AC"/>
    <w:rsid w:val="2D1608D2"/>
    <w:rsid w:val="2D73037D"/>
    <w:rsid w:val="2D756155"/>
    <w:rsid w:val="2D8741FD"/>
    <w:rsid w:val="2D8E62AF"/>
    <w:rsid w:val="2D92744F"/>
    <w:rsid w:val="2DCC68C9"/>
    <w:rsid w:val="2DE360DD"/>
    <w:rsid w:val="2DF56C8E"/>
    <w:rsid w:val="2E06057B"/>
    <w:rsid w:val="2E34317D"/>
    <w:rsid w:val="2E366C5C"/>
    <w:rsid w:val="2E4B03C2"/>
    <w:rsid w:val="2E501B30"/>
    <w:rsid w:val="2E544CB6"/>
    <w:rsid w:val="2E6C7410"/>
    <w:rsid w:val="2E7B6BF9"/>
    <w:rsid w:val="2E8C18F3"/>
    <w:rsid w:val="2E8F6858"/>
    <w:rsid w:val="2E9061FF"/>
    <w:rsid w:val="2EA558E5"/>
    <w:rsid w:val="2EB14257"/>
    <w:rsid w:val="2EBE353F"/>
    <w:rsid w:val="2ED67476"/>
    <w:rsid w:val="2ED76EDC"/>
    <w:rsid w:val="2EE57000"/>
    <w:rsid w:val="2EE6330F"/>
    <w:rsid w:val="2F09482F"/>
    <w:rsid w:val="2F113575"/>
    <w:rsid w:val="2F363248"/>
    <w:rsid w:val="2F3D4693"/>
    <w:rsid w:val="2F4F59A2"/>
    <w:rsid w:val="2F537CEF"/>
    <w:rsid w:val="2F554E29"/>
    <w:rsid w:val="2F563ABA"/>
    <w:rsid w:val="2F6C2E32"/>
    <w:rsid w:val="2F7A7999"/>
    <w:rsid w:val="2F9855DE"/>
    <w:rsid w:val="2F9B0412"/>
    <w:rsid w:val="2FB91AF1"/>
    <w:rsid w:val="2FC11004"/>
    <w:rsid w:val="2FCC748B"/>
    <w:rsid w:val="2FE23169"/>
    <w:rsid w:val="2FE56CBD"/>
    <w:rsid w:val="2FEA0514"/>
    <w:rsid w:val="2FF4322A"/>
    <w:rsid w:val="300E5A7D"/>
    <w:rsid w:val="30186937"/>
    <w:rsid w:val="302818EA"/>
    <w:rsid w:val="30302392"/>
    <w:rsid w:val="30334AE4"/>
    <w:rsid w:val="303350E1"/>
    <w:rsid w:val="30376682"/>
    <w:rsid w:val="306742E6"/>
    <w:rsid w:val="308A09BF"/>
    <w:rsid w:val="30927B03"/>
    <w:rsid w:val="309B45C6"/>
    <w:rsid w:val="30A16F03"/>
    <w:rsid w:val="30B458A7"/>
    <w:rsid w:val="30C61D7B"/>
    <w:rsid w:val="30CF7186"/>
    <w:rsid w:val="30D5575B"/>
    <w:rsid w:val="30D87EEE"/>
    <w:rsid w:val="30DB6BC6"/>
    <w:rsid w:val="30DC4C92"/>
    <w:rsid w:val="30EF3908"/>
    <w:rsid w:val="30F65CE0"/>
    <w:rsid w:val="31144DB4"/>
    <w:rsid w:val="3117668F"/>
    <w:rsid w:val="3117752A"/>
    <w:rsid w:val="311C53A9"/>
    <w:rsid w:val="312D09CD"/>
    <w:rsid w:val="31347C9E"/>
    <w:rsid w:val="31433C3C"/>
    <w:rsid w:val="314824EF"/>
    <w:rsid w:val="31564647"/>
    <w:rsid w:val="317C2441"/>
    <w:rsid w:val="31896E78"/>
    <w:rsid w:val="31A438B9"/>
    <w:rsid w:val="31B355E3"/>
    <w:rsid w:val="31B66885"/>
    <w:rsid w:val="31C4352C"/>
    <w:rsid w:val="31DB03B6"/>
    <w:rsid w:val="31E23AB0"/>
    <w:rsid w:val="32070480"/>
    <w:rsid w:val="321C26F1"/>
    <w:rsid w:val="321F19BC"/>
    <w:rsid w:val="322A310A"/>
    <w:rsid w:val="323C7F38"/>
    <w:rsid w:val="325309B4"/>
    <w:rsid w:val="326E4CAF"/>
    <w:rsid w:val="32894E91"/>
    <w:rsid w:val="328960FC"/>
    <w:rsid w:val="328C1D9E"/>
    <w:rsid w:val="32A30FEF"/>
    <w:rsid w:val="32AE48CA"/>
    <w:rsid w:val="32AF70FC"/>
    <w:rsid w:val="32BD4512"/>
    <w:rsid w:val="32C53C67"/>
    <w:rsid w:val="32D507BD"/>
    <w:rsid w:val="32DE2D5C"/>
    <w:rsid w:val="32E605FB"/>
    <w:rsid w:val="32F20541"/>
    <w:rsid w:val="32F5157E"/>
    <w:rsid w:val="330629F7"/>
    <w:rsid w:val="330C4229"/>
    <w:rsid w:val="331F7B21"/>
    <w:rsid w:val="3322031F"/>
    <w:rsid w:val="332D5A28"/>
    <w:rsid w:val="332E7963"/>
    <w:rsid w:val="333224BE"/>
    <w:rsid w:val="334A56EC"/>
    <w:rsid w:val="335E5C51"/>
    <w:rsid w:val="33664461"/>
    <w:rsid w:val="337A516C"/>
    <w:rsid w:val="337C6B66"/>
    <w:rsid w:val="337D4D4A"/>
    <w:rsid w:val="33853457"/>
    <w:rsid w:val="33884C06"/>
    <w:rsid w:val="33A35013"/>
    <w:rsid w:val="33AB37DE"/>
    <w:rsid w:val="33B15C7F"/>
    <w:rsid w:val="33BE1D58"/>
    <w:rsid w:val="33C55252"/>
    <w:rsid w:val="33CB25D0"/>
    <w:rsid w:val="33CC31E1"/>
    <w:rsid w:val="33D070D0"/>
    <w:rsid w:val="340113A5"/>
    <w:rsid w:val="34077132"/>
    <w:rsid w:val="340A1375"/>
    <w:rsid w:val="341715F9"/>
    <w:rsid w:val="34175D8D"/>
    <w:rsid w:val="34267F44"/>
    <w:rsid w:val="342E07A1"/>
    <w:rsid w:val="34365242"/>
    <w:rsid w:val="34393CE9"/>
    <w:rsid w:val="345341B0"/>
    <w:rsid w:val="3454413F"/>
    <w:rsid w:val="345756A2"/>
    <w:rsid w:val="345B39C0"/>
    <w:rsid w:val="34646398"/>
    <w:rsid w:val="346620FA"/>
    <w:rsid w:val="3477085D"/>
    <w:rsid w:val="347D660F"/>
    <w:rsid w:val="34803930"/>
    <w:rsid w:val="3484062E"/>
    <w:rsid w:val="34950393"/>
    <w:rsid w:val="349B27A4"/>
    <w:rsid w:val="349C5F41"/>
    <w:rsid w:val="34B241D7"/>
    <w:rsid w:val="34D4042F"/>
    <w:rsid w:val="34DD0A1F"/>
    <w:rsid w:val="34F52279"/>
    <w:rsid w:val="35050D01"/>
    <w:rsid w:val="350622C0"/>
    <w:rsid w:val="350A58FC"/>
    <w:rsid w:val="352171A0"/>
    <w:rsid w:val="35291E9A"/>
    <w:rsid w:val="35333636"/>
    <w:rsid w:val="35372971"/>
    <w:rsid w:val="35476F63"/>
    <w:rsid w:val="35485E2E"/>
    <w:rsid w:val="354A1C41"/>
    <w:rsid w:val="355B2F7E"/>
    <w:rsid w:val="35700619"/>
    <w:rsid w:val="359A190E"/>
    <w:rsid w:val="35A871E1"/>
    <w:rsid w:val="35AF36AF"/>
    <w:rsid w:val="35BD5E09"/>
    <w:rsid w:val="35DF732E"/>
    <w:rsid w:val="35F076B4"/>
    <w:rsid w:val="35F87E28"/>
    <w:rsid w:val="360D471D"/>
    <w:rsid w:val="361A686A"/>
    <w:rsid w:val="36273D72"/>
    <w:rsid w:val="3651206E"/>
    <w:rsid w:val="36603D5C"/>
    <w:rsid w:val="366152F9"/>
    <w:rsid w:val="36665741"/>
    <w:rsid w:val="368B4F7B"/>
    <w:rsid w:val="36912CF0"/>
    <w:rsid w:val="36B93E1F"/>
    <w:rsid w:val="36BC52B1"/>
    <w:rsid w:val="36DC20BA"/>
    <w:rsid w:val="36E0048C"/>
    <w:rsid w:val="36E21E3B"/>
    <w:rsid w:val="36EE7FE7"/>
    <w:rsid w:val="37074B7B"/>
    <w:rsid w:val="3726054E"/>
    <w:rsid w:val="37315B8D"/>
    <w:rsid w:val="374177FF"/>
    <w:rsid w:val="374B3161"/>
    <w:rsid w:val="37565B82"/>
    <w:rsid w:val="375C584B"/>
    <w:rsid w:val="376A2DA0"/>
    <w:rsid w:val="377C54BD"/>
    <w:rsid w:val="377F23FD"/>
    <w:rsid w:val="379B631D"/>
    <w:rsid w:val="37AD27DF"/>
    <w:rsid w:val="37AE7709"/>
    <w:rsid w:val="37B54C00"/>
    <w:rsid w:val="37C10600"/>
    <w:rsid w:val="37C54817"/>
    <w:rsid w:val="37C60616"/>
    <w:rsid w:val="37CB0920"/>
    <w:rsid w:val="37D53CA9"/>
    <w:rsid w:val="37DF5BCA"/>
    <w:rsid w:val="37F679CD"/>
    <w:rsid w:val="37F906D3"/>
    <w:rsid w:val="37FD5D95"/>
    <w:rsid w:val="380B5EA4"/>
    <w:rsid w:val="380C4BC2"/>
    <w:rsid w:val="380C5B79"/>
    <w:rsid w:val="380D5053"/>
    <w:rsid w:val="380E195E"/>
    <w:rsid w:val="382578A5"/>
    <w:rsid w:val="382861F6"/>
    <w:rsid w:val="382F0724"/>
    <w:rsid w:val="384C276C"/>
    <w:rsid w:val="38520CBD"/>
    <w:rsid w:val="385C4E71"/>
    <w:rsid w:val="38691F32"/>
    <w:rsid w:val="386B44A5"/>
    <w:rsid w:val="3871610D"/>
    <w:rsid w:val="388D77CA"/>
    <w:rsid w:val="38957D0C"/>
    <w:rsid w:val="38CC19EB"/>
    <w:rsid w:val="38DD3034"/>
    <w:rsid w:val="38EF194D"/>
    <w:rsid w:val="38F31523"/>
    <w:rsid w:val="38F62075"/>
    <w:rsid w:val="38FC711E"/>
    <w:rsid w:val="390058B9"/>
    <w:rsid w:val="3923436D"/>
    <w:rsid w:val="39367253"/>
    <w:rsid w:val="39523E72"/>
    <w:rsid w:val="39644950"/>
    <w:rsid w:val="397F4BD7"/>
    <w:rsid w:val="398A6918"/>
    <w:rsid w:val="39953C51"/>
    <w:rsid w:val="39AC1B2C"/>
    <w:rsid w:val="39BE4E1E"/>
    <w:rsid w:val="39D8639A"/>
    <w:rsid w:val="39EF5E89"/>
    <w:rsid w:val="39F24388"/>
    <w:rsid w:val="3A0B254F"/>
    <w:rsid w:val="3A13126C"/>
    <w:rsid w:val="3A1D7271"/>
    <w:rsid w:val="3A2A2CE2"/>
    <w:rsid w:val="3A3A449B"/>
    <w:rsid w:val="3A570F21"/>
    <w:rsid w:val="3A593E1E"/>
    <w:rsid w:val="3A5D557F"/>
    <w:rsid w:val="3A7743AB"/>
    <w:rsid w:val="3A8B590C"/>
    <w:rsid w:val="3A930B7B"/>
    <w:rsid w:val="3AA21CF8"/>
    <w:rsid w:val="3AC21261"/>
    <w:rsid w:val="3ADC01CB"/>
    <w:rsid w:val="3AE25DE0"/>
    <w:rsid w:val="3AED6D74"/>
    <w:rsid w:val="3AF02527"/>
    <w:rsid w:val="3AFA6701"/>
    <w:rsid w:val="3B287103"/>
    <w:rsid w:val="3B363908"/>
    <w:rsid w:val="3B4D2909"/>
    <w:rsid w:val="3B6D5D9F"/>
    <w:rsid w:val="3B8C76A1"/>
    <w:rsid w:val="3B8D34A7"/>
    <w:rsid w:val="3B9460B6"/>
    <w:rsid w:val="3BBF5C0F"/>
    <w:rsid w:val="3BC870F6"/>
    <w:rsid w:val="3BE23192"/>
    <w:rsid w:val="3BEE7D45"/>
    <w:rsid w:val="3BF61E12"/>
    <w:rsid w:val="3C0243B3"/>
    <w:rsid w:val="3C1962BB"/>
    <w:rsid w:val="3C264040"/>
    <w:rsid w:val="3C35356E"/>
    <w:rsid w:val="3C431E82"/>
    <w:rsid w:val="3C474B97"/>
    <w:rsid w:val="3C4E75E2"/>
    <w:rsid w:val="3C560AAE"/>
    <w:rsid w:val="3C596A96"/>
    <w:rsid w:val="3C647F06"/>
    <w:rsid w:val="3C663A4E"/>
    <w:rsid w:val="3C901204"/>
    <w:rsid w:val="3CD13BB1"/>
    <w:rsid w:val="3CDE59B4"/>
    <w:rsid w:val="3CE2589D"/>
    <w:rsid w:val="3CFB5D8B"/>
    <w:rsid w:val="3D101D41"/>
    <w:rsid w:val="3D2A1E08"/>
    <w:rsid w:val="3D30526F"/>
    <w:rsid w:val="3D3819FF"/>
    <w:rsid w:val="3D4D646B"/>
    <w:rsid w:val="3D4E0202"/>
    <w:rsid w:val="3D517FB1"/>
    <w:rsid w:val="3D5E46FD"/>
    <w:rsid w:val="3D6875B3"/>
    <w:rsid w:val="3D710D45"/>
    <w:rsid w:val="3D865573"/>
    <w:rsid w:val="3D89654A"/>
    <w:rsid w:val="3D8F3B6E"/>
    <w:rsid w:val="3DA63A87"/>
    <w:rsid w:val="3DC44D71"/>
    <w:rsid w:val="3DC843B9"/>
    <w:rsid w:val="3DCD6CCF"/>
    <w:rsid w:val="3DD2122F"/>
    <w:rsid w:val="3DE50717"/>
    <w:rsid w:val="3DF4344D"/>
    <w:rsid w:val="3E091859"/>
    <w:rsid w:val="3E107655"/>
    <w:rsid w:val="3E193D11"/>
    <w:rsid w:val="3E26182D"/>
    <w:rsid w:val="3E29081E"/>
    <w:rsid w:val="3E2D693D"/>
    <w:rsid w:val="3E2E6E7B"/>
    <w:rsid w:val="3E5045BA"/>
    <w:rsid w:val="3E6005C9"/>
    <w:rsid w:val="3E6A2625"/>
    <w:rsid w:val="3E720789"/>
    <w:rsid w:val="3E760119"/>
    <w:rsid w:val="3E823DB0"/>
    <w:rsid w:val="3EA52935"/>
    <w:rsid w:val="3EAA7F4E"/>
    <w:rsid w:val="3EAD5474"/>
    <w:rsid w:val="3EAE5F54"/>
    <w:rsid w:val="3EBE30E2"/>
    <w:rsid w:val="3ECB77F8"/>
    <w:rsid w:val="3ED5181A"/>
    <w:rsid w:val="3EE27744"/>
    <w:rsid w:val="3EED04B2"/>
    <w:rsid w:val="3EEF29D8"/>
    <w:rsid w:val="3EF24631"/>
    <w:rsid w:val="3EFE0526"/>
    <w:rsid w:val="3F0F0212"/>
    <w:rsid w:val="3F2D1C9E"/>
    <w:rsid w:val="3F2D31F0"/>
    <w:rsid w:val="3F382F40"/>
    <w:rsid w:val="3F3F566E"/>
    <w:rsid w:val="3F44186E"/>
    <w:rsid w:val="3F531F94"/>
    <w:rsid w:val="3F71606A"/>
    <w:rsid w:val="3F730894"/>
    <w:rsid w:val="3F7F39FE"/>
    <w:rsid w:val="3FA63B67"/>
    <w:rsid w:val="3FA6670A"/>
    <w:rsid w:val="3FE63134"/>
    <w:rsid w:val="3FEA107F"/>
    <w:rsid w:val="3FEA39A8"/>
    <w:rsid w:val="3FF7748A"/>
    <w:rsid w:val="4010699C"/>
    <w:rsid w:val="4013021A"/>
    <w:rsid w:val="401827C0"/>
    <w:rsid w:val="402708D1"/>
    <w:rsid w:val="402C2511"/>
    <w:rsid w:val="403B0B5C"/>
    <w:rsid w:val="403B57D3"/>
    <w:rsid w:val="40453B74"/>
    <w:rsid w:val="404675E9"/>
    <w:rsid w:val="405B4C39"/>
    <w:rsid w:val="40947632"/>
    <w:rsid w:val="40963004"/>
    <w:rsid w:val="40B0745D"/>
    <w:rsid w:val="40B521F0"/>
    <w:rsid w:val="40C36A50"/>
    <w:rsid w:val="40C963BE"/>
    <w:rsid w:val="40CB035B"/>
    <w:rsid w:val="40CE77EA"/>
    <w:rsid w:val="40D108CB"/>
    <w:rsid w:val="40D234FF"/>
    <w:rsid w:val="40D779CA"/>
    <w:rsid w:val="40DA02A4"/>
    <w:rsid w:val="40DA179E"/>
    <w:rsid w:val="40F418CD"/>
    <w:rsid w:val="40FF0007"/>
    <w:rsid w:val="411653EE"/>
    <w:rsid w:val="413B2182"/>
    <w:rsid w:val="4151614C"/>
    <w:rsid w:val="4179248F"/>
    <w:rsid w:val="417E32BD"/>
    <w:rsid w:val="418F2965"/>
    <w:rsid w:val="41935245"/>
    <w:rsid w:val="41AB55FB"/>
    <w:rsid w:val="41C1401B"/>
    <w:rsid w:val="41DA183B"/>
    <w:rsid w:val="41E52B1F"/>
    <w:rsid w:val="41F628E2"/>
    <w:rsid w:val="42122272"/>
    <w:rsid w:val="423B34CD"/>
    <w:rsid w:val="42407178"/>
    <w:rsid w:val="425C6CFA"/>
    <w:rsid w:val="426261BB"/>
    <w:rsid w:val="426721C2"/>
    <w:rsid w:val="426D70DE"/>
    <w:rsid w:val="427A29FD"/>
    <w:rsid w:val="427A3D51"/>
    <w:rsid w:val="4295602A"/>
    <w:rsid w:val="42AB19C3"/>
    <w:rsid w:val="42B21158"/>
    <w:rsid w:val="42C67F14"/>
    <w:rsid w:val="42DF1811"/>
    <w:rsid w:val="42E228D1"/>
    <w:rsid w:val="42E40009"/>
    <w:rsid w:val="42E43A3E"/>
    <w:rsid w:val="42E90398"/>
    <w:rsid w:val="42FB57A5"/>
    <w:rsid w:val="43152112"/>
    <w:rsid w:val="4341078B"/>
    <w:rsid w:val="434712BF"/>
    <w:rsid w:val="435E0DE5"/>
    <w:rsid w:val="43622D0C"/>
    <w:rsid w:val="43653FAF"/>
    <w:rsid w:val="438741E5"/>
    <w:rsid w:val="43B67988"/>
    <w:rsid w:val="43BA15D2"/>
    <w:rsid w:val="43C43BF2"/>
    <w:rsid w:val="43D97103"/>
    <w:rsid w:val="43EC4C03"/>
    <w:rsid w:val="43F72268"/>
    <w:rsid w:val="440C57FE"/>
    <w:rsid w:val="440D778D"/>
    <w:rsid w:val="44103A8D"/>
    <w:rsid w:val="441152E9"/>
    <w:rsid w:val="44161C5E"/>
    <w:rsid w:val="44202455"/>
    <w:rsid w:val="443256A5"/>
    <w:rsid w:val="446C5848"/>
    <w:rsid w:val="446C7001"/>
    <w:rsid w:val="44751DC1"/>
    <w:rsid w:val="44772952"/>
    <w:rsid w:val="44812CC2"/>
    <w:rsid w:val="4485158F"/>
    <w:rsid w:val="448D6E9A"/>
    <w:rsid w:val="449A67DF"/>
    <w:rsid w:val="44CA3154"/>
    <w:rsid w:val="451C10E1"/>
    <w:rsid w:val="45572981"/>
    <w:rsid w:val="45650578"/>
    <w:rsid w:val="456F3C5E"/>
    <w:rsid w:val="458002F3"/>
    <w:rsid w:val="45866331"/>
    <w:rsid w:val="45972802"/>
    <w:rsid w:val="459B5CAF"/>
    <w:rsid w:val="459C4ACB"/>
    <w:rsid w:val="45A2541E"/>
    <w:rsid w:val="45C465A6"/>
    <w:rsid w:val="45CF495B"/>
    <w:rsid w:val="45DA55CB"/>
    <w:rsid w:val="45E67E79"/>
    <w:rsid w:val="46086C7B"/>
    <w:rsid w:val="462D3EB2"/>
    <w:rsid w:val="463A200C"/>
    <w:rsid w:val="46601D24"/>
    <w:rsid w:val="467330F9"/>
    <w:rsid w:val="46912C0B"/>
    <w:rsid w:val="46B768E8"/>
    <w:rsid w:val="46B83711"/>
    <w:rsid w:val="46CB289E"/>
    <w:rsid w:val="46DD3542"/>
    <w:rsid w:val="46E85408"/>
    <w:rsid w:val="470C6BCA"/>
    <w:rsid w:val="470E2B52"/>
    <w:rsid w:val="47103FB8"/>
    <w:rsid w:val="473404CD"/>
    <w:rsid w:val="47350610"/>
    <w:rsid w:val="473B2963"/>
    <w:rsid w:val="4754618B"/>
    <w:rsid w:val="476F498A"/>
    <w:rsid w:val="477D5ABF"/>
    <w:rsid w:val="47821942"/>
    <w:rsid w:val="479024BB"/>
    <w:rsid w:val="47A004F7"/>
    <w:rsid w:val="47BC5C24"/>
    <w:rsid w:val="47C212BF"/>
    <w:rsid w:val="47E33665"/>
    <w:rsid w:val="47F075FE"/>
    <w:rsid w:val="48027563"/>
    <w:rsid w:val="48094421"/>
    <w:rsid w:val="481E4FA9"/>
    <w:rsid w:val="48265CBD"/>
    <w:rsid w:val="48323AF8"/>
    <w:rsid w:val="4833166E"/>
    <w:rsid w:val="484776FA"/>
    <w:rsid w:val="4850551F"/>
    <w:rsid w:val="485D7079"/>
    <w:rsid w:val="48616B1D"/>
    <w:rsid w:val="486D3F73"/>
    <w:rsid w:val="4874631F"/>
    <w:rsid w:val="48997DC9"/>
    <w:rsid w:val="48A84422"/>
    <w:rsid w:val="48A87515"/>
    <w:rsid w:val="48B939EC"/>
    <w:rsid w:val="48BA0F1E"/>
    <w:rsid w:val="48C95BF2"/>
    <w:rsid w:val="48C9707A"/>
    <w:rsid w:val="48CC3490"/>
    <w:rsid w:val="48E04890"/>
    <w:rsid w:val="493A0E70"/>
    <w:rsid w:val="497C30E1"/>
    <w:rsid w:val="49D8055A"/>
    <w:rsid w:val="49E13885"/>
    <w:rsid w:val="49E16F3F"/>
    <w:rsid w:val="49E23141"/>
    <w:rsid w:val="49EB0B14"/>
    <w:rsid w:val="49F91985"/>
    <w:rsid w:val="4A0032BA"/>
    <w:rsid w:val="4A062C9E"/>
    <w:rsid w:val="4A33097A"/>
    <w:rsid w:val="4A394F88"/>
    <w:rsid w:val="4A447FA9"/>
    <w:rsid w:val="4A4509A6"/>
    <w:rsid w:val="4A4C5A06"/>
    <w:rsid w:val="4A53265E"/>
    <w:rsid w:val="4A585127"/>
    <w:rsid w:val="4A5A2F7F"/>
    <w:rsid w:val="4A5E4BBE"/>
    <w:rsid w:val="4A806E5B"/>
    <w:rsid w:val="4A9B3D7A"/>
    <w:rsid w:val="4AA00166"/>
    <w:rsid w:val="4AAE4DA4"/>
    <w:rsid w:val="4AC00411"/>
    <w:rsid w:val="4ADC3BDD"/>
    <w:rsid w:val="4ADE5714"/>
    <w:rsid w:val="4AEE72BD"/>
    <w:rsid w:val="4AF23B37"/>
    <w:rsid w:val="4B0F30A1"/>
    <w:rsid w:val="4B2A0143"/>
    <w:rsid w:val="4B530DF6"/>
    <w:rsid w:val="4B5A7FA4"/>
    <w:rsid w:val="4B8444A8"/>
    <w:rsid w:val="4BA85AE2"/>
    <w:rsid w:val="4BBD4793"/>
    <w:rsid w:val="4BC25F45"/>
    <w:rsid w:val="4BCB401F"/>
    <w:rsid w:val="4BD27109"/>
    <w:rsid w:val="4BD47814"/>
    <w:rsid w:val="4BE43A4F"/>
    <w:rsid w:val="4BE4404C"/>
    <w:rsid w:val="4BE7746A"/>
    <w:rsid w:val="4BFA462E"/>
    <w:rsid w:val="4C062D96"/>
    <w:rsid w:val="4C183B6F"/>
    <w:rsid w:val="4C1B07C5"/>
    <w:rsid w:val="4C280D47"/>
    <w:rsid w:val="4C297724"/>
    <w:rsid w:val="4C361F72"/>
    <w:rsid w:val="4C38550C"/>
    <w:rsid w:val="4C437440"/>
    <w:rsid w:val="4C5109BC"/>
    <w:rsid w:val="4C5F72D3"/>
    <w:rsid w:val="4CA80E3B"/>
    <w:rsid w:val="4CBA57D9"/>
    <w:rsid w:val="4CFF33FA"/>
    <w:rsid w:val="4D0341CE"/>
    <w:rsid w:val="4D0E1201"/>
    <w:rsid w:val="4D1041F8"/>
    <w:rsid w:val="4D133BD4"/>
    <w:rsid w:val="4D1611A5"/>
    <w:rsid w:val="4D1F5442"/>
    <w:rsid w:val="4D2D4125"/>
    <w:rsid w:val="4D5A571F"/>
    <w:rsid w:val="4D623DCC"/>
    <w:rsid w:val="4D630E5A"/>
    <w:rsid w:val="4D6A2CAF"/>
    <w:rsid w:val="4D820430"/>
    <w:rsid w:val="4DA337D2"/>
    <w:rsid w:val="4DA72350"/>
    <w:rsid w:val="4DB15A48"/>
    <w:rsid w:val="4DC93704"/>
    <w:rsid w:val="4DD83ABA"/>
    <w:rsid w:val="4DF846B5"/>
    <w:rsid w:val="4DF95869"/>
    <w:rsid w:val="4DFE016A"/>
    <w:rsid w:val="4E041A20"/>
    <w:rsid w:val="4E0B60CB"/>
    <w:rsid w:val="4E103B65"/>
    <w:rsid w:val="4E217814"/>
    <w:rsid w:val="4E474E28"/>
    <w:rsid w:val="4E5479D8"/>
    <w:rsid w:val="4E5E453C"/>
    <w:rsid w:val="4E63114D"/>
    <w:rsid w:val="4E7A54F2"/>
    <w:rsid w:val="4E8401D4"/>
    <w:rsid w:val="4E8D21B5"/>
    <w:rsid w:val="4E8E28AE"/>
    <w:rsid w:val="4E9E2F1D"/>
    <w:rsid w:val="4EA608BF"/>
    <w:rsid w:val="4EAB06DC"/>
    <w:rsid w:val="4EB76F7C"/>
    <w:rsid w:val="4EDC506C"/>
    <w:rsid w:val="4EEC58A7"/>
    <w:rsid w:val="4EEF5806"/>
    <w:rsid w:val="4EFB6396"/>
    <w:rsid w:val="4F02711E"/>
    <w:rsid w:val="4F0C7166"/>
    <w:rsid w:val="4F167974"/>
    <w:rsid w:val="4F1D5C27"/>
    <w:rsid w:val="4F22012A"/>
    <w:rsid w:val="4F276DEE"/>
    <w:rsid w:val="4F433894"/>
    <w:rsid w:val="4F680775"/>
    <w:rsid w:val="4F68187F"/>
    <w:rsid w:val="4F6A2B27"/>
    <w:rsid w:val="4F743CFC"/>
    <w:rsid w:val="4F8362D2"/>
    <w:rsid w:val="4F846BD8"/>
    <w:rsid w:val="4F9203D6"/>
    <w:rsid w:val="4F9552F4"/>
    <w:rsid w:val="4F9620F8"/>
    <w:rsid w:val="4F981F47"/>
    <w:rsid w:val="4F9962E2"/>
    <w:rsid w:val="4F9C68EC"/>
    <w:rsid w:val="4FAC3C4C"/>
    <w:rsid w:val="4FB1549B"/>
    <w:rsid w:val="4FBD0F47"/>
    <w:rsid w:val="50130BAC"/>
    <w:rsid w:val="501532FC"/>
    <w:rsid w:val="502A7670"/>
    <w:rsid w:val="50365F34"/>
    <w:rsid w:val="503D14CD"/>
    <w:rsid w:val="50540C51"/>
    <w:rsid w:val="50707F44"/>
    <w:rsid w:val="50722C8D"/>
    <w:rsid w:val="508933E2"/>
    <w:rsid w:val="50A62695"/>
    <w:rsid w:val="50A66731"/>
    <w:rsid w:val="50FC4ACD"/>
    <w:rsid w:val="51021162"/>
    <w:rsid w:val="510629EF"/>
    <w:rsid w:val="511B76E8"/>
    <w:rsid w:val="51365789"/>
    <w:rsid w:val="5154246D"/>
    <w:rsid w:val="5195656F"/>
    <w:rsid w:val="51966D2C"/>
    <w:rsid w:val="51BC4C5B"/>
    <w:rsid w:val="51C107C4"/>
    <w:rsid w:val="51C342DF"/>
    <w:rsid w:val="51C661B5"/>
    <w:rsid w:val="51CC68B9"/>
    <w:rsid w:val="51D87583"/>
    <w:rsid w:val="51E71A3A"/>
    <w:rsid w:val="51EE41DA"/>
    <w:rsid w:val="520957DF"/>
    <w:rsid w:val="520B3F2D"/>
    <w:rsid w:val="521D25E1"/>
    <w:rsid w:val="524862CD"/>
    <w:rsid w:val="525F576C"/>
    <w:rsid w:val="52712E4D"/>
    <w:rsid w:val="527416EF"/>
    <w:rsid w:val="52781BA4"/>
    <w:rsid w:val="527D35F1"/>
    <w:rsid w:val="529902AC"/>
    <w:rsid w:val="529F63E6"/>
    <w:rsid w:val="52A105AE"/>
    <w:rsid w:val="52B51D3F"/>
    <w:rsid w:val="52C551F3"/>
    <w:rsid w:val="52C83BC9"/>
    <w:rsid w:val="52D25178"/>
    <w:rsid w:val="52DF4571"/>
    <w:rsid w:val="52F638C1"/>
    <w:rsid w:val="5305085B"/>
    <w:rsid w:val="530A4005"/>
    <w:rsid w:val="53250255"/>
    <w:rsid w:val="532871F4"/>
    <w:rsid w:val="533928BC"/>
    <w:rsid w:val="5340643B"/>
    <w:rsid w:val="53406F90"/>
    <w:rsid w:val="534B1D45"/>
    <w:rsid w:val="53521216"/>
    <w:rsid w:val="5362033B"/>
    <w:rsid w:val="537D79EF"/>
    <w:rsid w:val="5380723B"/>
    <w:rsid w:val="53917D47"/>
    <w:rsid w:val="53A112F3"/>
    <w:rsid w:val="53B55E4D"/>
    <w:rsid w:val="53C116A3"/>
    <w:rsid w:val="53D71BC6"/>
    <w:rsid w:val="53DC22DE"/>
    <w:rsid w:val="53FD47C9"/>
    <w:rsid w:val="54340056"/>
    <w:rsid w:val="544C41FC"/>
    <w:rsid w:val="54794657"/>
    <w:rsid w:val="548527C6"/>
    <w:rsid w:val="54884713"/>
    <w:rsid w:val="54887D18"/>
    <w:rsid w:val="54987279"/>
    <w:rsid w:val="549D6E58"/>
    <w:rsid w:val="54A0305B"/>
    <w:rsid w:val="54A96F00"/>
    <w:rsid w:val="54AA40E9"/>
    <w:rsid w:val="54B64A3C"/>
    <w:rsid w:val="54FF0773"/>
    <w:rsid w:val="55056305"/>
    <w:rsid w:val="55060ECF"/>
    <w:rsid w:val="552760C0"/>
    <w:rsid w:val="552A319C"/>
    <w:rsid w:val="552D740D"/>
    <w:rsid w:val="55312076"/>
    <w:rsid w:val="5535578A"/>
    <w:rsid w:val="5538360F"/>
    <w:rsid w:val="554C650A"/>
    <w:rsid w:val="555316FA"/>
    <w:rsid w:val="55545AD0"/>
    <w:rsid w:val="5557668A"/>
    <w:rsid w:val="555D339F"/>
    <w:rsid w:val="555E0BAB"/>
    <w:rsid w:val="556D1327"/>
    <w:rsid w:val="556D14C8"/>
    <w:rsid w:val="55767E6F"/>
    <w:rsid w:val="5587637D"/>
    <w:rsid w:val="55A04826"/>
    <w:rsid w:val="55A11061"/>
    <w:rsid w:val="55A574EC"/>
    <w:rsid w:val="55AA56C3"/>
    <w:rsid w:val="55AE6467"/>
    <w:rsid w:val="55CC7FC2"/>
    <w:rsid w:val="55DA7448"/>
    <w:rsid w:val="5608242B"/>
    <w:rsid w:val="56143119"/>
    <w:rsid w:val="56227370"/>
    <w:rsid w:val="56256F45"/>
    <w:rsid w:val="56421A6F"/>
    <w:rsid w:val="564A2155"/>
    <w:rsid w:val="565C4C88"/>
    <w:rsid w:val="566C5400"/>
    <w:rsid w:val="56734532"/>
    <w:rsid w:val="5678185B"/>
    <w:rsid w:val="56A4219E"/>
    <w:rsid w:val="56A4793C"/>
    <w:rsid w:val="56A65E4C"/>
    <w:rsid w:val="56B30209"/>
    <w:rsid w:val="56C07C41"/>
    <w:rsid w:val="56C706B4"/>
    <w:rsid w:val="56CC51E5"/>
    <w:rsid w:val="56D268C8"/>
    <w:rsid w:val="56E30F98"/>
    <w:rsid w:val="56F356D2"/>
    <w:rsid w:val="56F378D7"/>
    <w:rsid w:val="57013754"/>
    <w:rsid w:val="5710748C"/>
    <w:rsid w:val="571123DB"/>
    <w:rsid w:val="57127A34"/>
    <w:rsid w:val="57230CCD"/>
    <w:rsid w:val="572D5FD9"/>
    <w:rsid w:val="5736331E"/>
    <w:rsid w:val="57450B21"/>
    <w:rsid w:val="574926D1"/>
    <w:rsid w:val="575242D4"/>
    <w:rsid w:val="5756408F"/>
    <w:rsid w:val="57591DB7"/>
    <w:rsid w:val="57AA38C7"/>
    <w:rsid w:val="57B203F8"/>
    <w:rsid w:val="57D02477"/>
    <w:rsid w:val="57DD7925"/>
    <w:rsid w:val="57E73787"/>
    <w:rsid w:val="57EA253C"/>
    <w:rsid w:val="57F40DD5"/>
    <w:rsid w:val="57F85065"/>
    <w:rsid w:val="57F87879"/>
    <w:rsid w:val="57F95D81"/>
    <w:rsid w:val="57FA2AD6"/>
    <w:rsid w:val="580622BF"/>
    <w:rsid w:val="580C32E5"/>
    <w:rsid w:val="580F127E"/>
    <w:rsid w:val="58196423"/>
    <w:rsid w:val="5820275F"/>
    <w:rsid w:val="58341E30"/>
    <w:rsid w:val="583D29F0"/>
    <w:rsid w:val="583F2BDD"/>
    <w:rsid w:val="585E24BF"/>
    <w:rsid w:val="587B6FC2"/>
    <w:rsid w:val="58852FF5"/>
    <w:rsid w:val="588D1B7E"/>
    <w:rsid w:val="58905D98"/>
    <w:rsid w:val="58A1430E"/>
    <w:rsid w:val="58A2140C"/>
    <w:rsid w:val="58A601FD"/>
    <w:rsid w:val="58A60975"/>
    <w:rsid w:val="58BA4DD0"/>
    <w:rsid w:val="58C06E3C"/>
    <w:rsid w:val="58D76121"/>
    <w:rsid w:val="58E212C3"/>
    <w:rsid w:val="591A18BC"/>
    <w:rsid w:val="59282713"/>
    <w:rsid w:val="594873C2"/>
    <w:rsid w:val="594A4E23"/>
    <w:rsid w:val="594B6532"/>
    <w:rsid w:val="59602591"/>
    <w:rsid w:val="596248A1"/>
    <w:rsid w:val="59642D19"/>
    <w:rsid w:val="59785589"/>
    <w:rsid w:val="599A01E1"/>
    <w:rsid w:val="59BE53D2"/>
    <w:rsid w:val="59CD6610"/>
    <w:rsid w:val="59D07FF2"/>
    <w:rsid w:val="59E71B35"/>
    <w:rsid w:val="59EA60D1"/>
    <w:rsid w:val="5A03720E"/>
    <w:rsid w:val="5A074920"/>
    <w:rsid w:val="5A086E0A"/>
    <w:rsid w:val="5A1115DA"/>
    <w:rsid w:val="5A237B6B"/>
    <w:rsid w:val="5A2B05DA"/>
    <w:rsid w:val="5A2B36AF"/>
    <w:rsid w:val="5A325552"/>
    <w:rsid w:val="5A5B728F"/>
    <w:rsid w:val="5A640577"/>
    <w:rsid w:val="5A773037"/>
    <w:rsid w:val="5A980610"/>
    <w:rsid w:val="5ABC07B5"/>
    <w:rsid w:val="5ABF50BA"/>
    <w:rsid w:val="5ACE38EF"/>
    <w:rsid w:val="5AD44092"/>
    <w:rsid w:val="5AEF2028"/>
    <w:rsid w:val="5AF11FBF"/>
    <w:rsid w:val="5B02335D"/>
    <w:rsid w:val="5B132553"/>
    <w:rsid w:val="5B14715F"/>
    <w:rsid w:val="5B1A2504"/>
    <w:rsid w:val="5B2C51FF"/>
    <w:rsid w:val="5B2C7899"/>
    <w:rsid w:val="5B2F46BD"/>
    <w:rsid w:val="5B3A63E9"/>
    <w:rsid w:val="5B595ECC"/>
    <w:rsid w:val="5B602A66"/>
    <w:rsid w:val="5B621DB9"/>
    <w:rsid w:val="5B6B1A38"/>
    <w:rsid w:val="5B6E1CA1"/>
    <w:rsid w:val="5BA5276A"/>
    <w:rsid w:val="5BAD13BD"/>
    <w:rsid w:val="5BAF764F"/>
    <w:rsid w:val="5BBB3791"/>
    <w:rsid w:val="5BDC7534"/>
    <w:rsid w:val="5BDC78F7"/>
    <w:rsid w:val="5BDD4768"/>
    <w:rsid w:val="5BE571AE"/>
    <w:rsid w:val="5BE80C2F"/>
    <w:rsid w:val="5C0E2A2F"/>
    <w:rsid w:val="5C111FE7"/>
    <w:rsid w:val="5C1A158D"/>
    <w:rsid w:val="5C21518D"/>
    <w:rsid w:val="5C2F4674"/>
    <w:rsid w:val="5C4330F8"/>
    <w:rsid w:val="5C4E2E43"/>
    <w:rsid w:val="5C712EF6"/>
    <w:rsid w:val="5C7B4D4E"/>
    <w:rsid w:val="5C895AF6"/>
    <w:rsid w:val="5C926BB3"/>
    <w:rsid w:val="5CA04260"/>
    <w:rsid w:val="5CA359B4"/>
    <w:rsid w:val="5CA911BE"/>
    <w:rsid w:val="5CAD5DDE"/>
    <w:rsid w:val="5CB32493"/>
    <w:rsid w:val="5CBE3193"/>
    <w:rsid w:val="5CC525EF"/>
    <w:rsid w:val="5CCF170F"/>
    <w:rsid w:val="5CD60667"/>
    <w:rsid w:val="5CD77B37"/>
    <w:rsid w:val="5CE617A0"/>
    <w:rsid w:val="5CE65285"/>
    <w:rsid w:val="5CF97613"/>
    <w:rsid w:val="5CFF5416"/>
    <w:rsid w:val="5D205D6C"/>
    <w:rsid w:val="5D265621"/>
    <w:rsid w:val="5D2773A8"/>
    <w:rsid w:val="5D3E61D4"/>
    <w:rsid w:val="5D5C1E19"/>
    <w:rsid w:val="5D627601"/>
    <w:rsid w:val="5D6604A7"/>
    <w:rsid w:val="5D7713F8"/>
    <w:rsid w:val="5D806C00"/>
    <w:rsid w:val="5D846690"/>
    <w:rsid w:val="5D876174"/>
    <w:rsid w:val="5D8C490D"/>
    <w:rsid w:val="5D940234"/>
    <w:rsid w:val="5D995DB7"/>
    <w:rsid w:val="5D9A5038"/>
    <w:rsid w:val="5DA16FC6"/>
    <w:rsid w:val="5DA5740E"/>
    <w:rsid w:val="5DB72DB9"/>
    <w:rsid w:val="5DC37754"/>
    <w:rsid w:val="5DC77270"/>
    <w:rsid w:val="5DC86F2A"/>
    <w:rsid w:val="5DD2251A"/>
    <w:rsid w:val="5DE333E1"/>
    <w:rsid w:val="5DEF5358"/>
    <w:rsid w:val="5DF60D10"/>
    <w:rsid w:val="5DF70F91"/>
    <w:rsid w:val="5DF91DB0"/>
    <w:rsid w:val="5DFE0D77"/>
    <w:rsid w:val="5E19372C"/>
    <w:rsid w:val="5E193A78"/>
    <w:rsid w:val="5E346374"/>
    <w:rsid w:val="5E5047F1"/>
    <w:rsid w:val="5E676955"/>
    <w:rsid w:val="5E741DFB"/>
    <w:rsid w:val="5E832F86"/>
    <w:rsid w:val="5E84100E"/>
    <w:rsid w:val="5E8D20B5"/>
    <w:rsid w:val="5E922FAC"/>
    <w:rsid w:val="5E9466D1"/>
    <w:rsid w:val="5E975AE3"/>
    <w:rsid w:val="5E9D3AC7"/>
    <w:rsid w:val="5EB87486"/>
    <w:rsid w:val="5F1A179D"/>
    <w:rsid w:val="5F2A420B"/>
    <w:rsid w:val="5F3436FD"/>
    <w:rsid w:val="5F452EB5"/>
    <w:rsid w:val="5F483F49"/>
    <w:rsid w:val="5F4F0819"/>
    <w:rsid w:val="5F7455ED"/>
    <w:rsid w:val="5F761E47"/>
    <w:rsid w:val="5F894D22"/>
    <w:rsid w:val="5F982770"/>
    <w:rsid w:val="5F9C1E1B"/>
    <w:rsid w:val="5FA174C0"/>
    <w:rsid w:val="5FAE2656"/>
    <w:rsid w:val="5FB13D9B"/>
    <w:rsid w:val="5FBF6AAB"/>
    <w:rsid w:val="5FF34C41"/>
    <w:rsid w:val="5FFD6F2F"/>
    <w:rsid w:val="5FFE4DF8"/>
    <w:rsid w:val="600E714A"/>
    <w:rsid w:val="60102057"/>
    <w:rsid w:val="601F4A7F"/>
    <w:rsid w:val="6021088A"/>
    <w:rsid w:val="60290D79"/>
    <w:rsid w:val="603456C3"/>
    <w:rsid w:val="60426168"/>
    <w:rsid w:val="604E003F"/>
    <w:rsid w:val="605F19DE"/>
    <w:rsid w:val="60722908"/>
    <w:rsid w:val="609033EA"/>
    <w:rsid w:val="60A24733"/>
    <w:rsid w:val="60A83DC5"/>
    <w:rsid w:val="60B31BDA"/>
    <w:rsid w:val="60B95E57"/>
    <w:rsid w:val="60C43134"/>
    <w:rsid w:val="60CB6C4C"/>
    <w:rsid w:val="60E11912"/>
    <w:rsid w:val="60E93617"/>
    <w:rsid w:val="60ED04B2"/>
    <w:rsid w:val="60F63FD4"/>
    <w:rsid w:val="60FA025E"/>
    <w:rsid w:val="60FA5632"/>
    <w:rsid w:val="61052394"/>
    <w:rsid w:val="61153515"/>
    <w:rsid w:val="61170CF8"/>
    <w:rsid w:val="61180E99"/>
    <w:rsid w:val="611B3012"/>
    <w:rsid w:val="612109E2"/>
    <w:rsid w:val="61350676"/>
    <w:rsid w:val="613E78A5"/>
    <w:rsid w:val="614B61DE"/>
    <w:rsid w:val="61570EAC"/>
    <w:rsid w:val="6159523E"/>
    <w:rsid w:val="616427F5"/>
    <w:rsid w:val="61722AF3"/>
    <w:rsid w:val="619641EE"/>
    <w:rsid w:val="61974652"/>
    <w:rsid w:val="619A63F7"/>
    <w:rsid w:val="61A47AF9"/>
    <w:rsid w:val="61A73013"/>
    <w:rsid w:val="61C31501"/>
    <w:rsid w:val="61C80A64"/>
    <w:rsid w:val="61DD1488"/>
    <w:rsid w:val="61EC2636"/>
    <w:rsid w:val="61F91CA0"/>
    <w:rsid w:val="62234C71"/>
    <w:rsid w:val="62346C69"/>
    <w:rsid w:val="623D6698"/>
    <w:rsid w:val="623F5E32"/>
    <w:rsid w:val="624F65D4"/>
    <w:rsid w:val="6256484A"/>
    <w:rsid w:val="625771CF"/>
    <w:rsid w:val="626D2A39"/>
    <w:rsid w:val="628F5F60"/>
    <w:rsid w:val="62995788"/>
    <w:rsid w:val="629F7E24"/>
    <w:rsid w:val="62B941FC"/>
    <w:rsid w:val="62BD4506"/>
    <w:rsid w:val="62C80EFD"/>
    <w:rsid w:val="62C82AF6"/>
    <w:rsid w:val="62F263B2"/>
    <w:rsid w:val="6303733E"/>
    <w:rsid w:val="630F351D"/>
    <w:rsid w:val="631779B6"/>
    <w:rsid w:val="63180A97"/>
    <w:rsid w:val="631B6E10"/>
    <w:rsid w:val="632B32A6"/>
    <w:rsid w:val="6332039F"/>
    <w:rsid w:val="634312AE"/>
    <w:rsid w:val="634B0062"/>
    <w:rsid w:val="63593DC0"/>
    <w:rsid w:val="635A64C6"/>
    <w:rsid w:val="635B054E"/>
    <w:rsid w:val="63641137"/>
    <w:rsid w:val="636B6DD6"/>
    <w:rsid w:val="63731E0A"/>
    <w:rsid w:val="639715DD"/>
    <w:rsid w:val="63A05D5D"/>
    <w:rsid w:val="63A44B4F"/>
    <w:rsid w:val="63AE3552"/>
    <w:rsid w:val="63B7697A"/>
    <w:rsid w:val="63BA1E8F"/>
    <w:rsid w:val="63BB687F"/>
    <w:rsid w:val="63CD37DA"/>
    <w:rsid w:val="63CE0DF1"/>
    <w:rsid w:val="63D64E8A"/>
    <w:rsid w:val="63E434CE"/>
    <w:rsid w:val="63F903C1"/>
    <w:rsid w:val="640079D7"/>
    <w:rsid w:val="64171CF3"/>
    <w:rsid w:val="64181845"/>
    <w:rsid w:val="6424134F"/>
    <w:rsid w:val="643F31D6"/>
    <w:rsid w:val="6440205E"/>
    <w:rsid w:val="64481068"/>
    <w:rsid w:val="645619B3"/>
    <w:rsid w:val="646D4728"/>
    <w:rsid w:val="64782CA7"/>
    <w:rsid w:val="64A558B6"/>
    <w:rsid w:val="64BE683D"/>
    <w:rsid w:val="64D46083"/>
    <w:rsid w:val="64D74B2D"/>
    <w:rsid w:val="6501186D"/>
    <w:rsid w:val="6503586B"/>
    <w:rsid w:val="65083699"/>
    <w:rsid w:val="651F1901"/>
    <w:rsid w:val="652A7DB4"/>
    <w:rsid w:val="653C668D"/>
    <w:rsid w:val="654A1097"/>
    <w:rsid w:val="654E6C53"/>
    <w:rsid w:val="654F106D"/>
    <w:rsid w:val="65501CF5"/>
    <w:rsid w:val="655138E2"/>
    <w:rsid w:val="656300F0"/>
    <w:rsid w:val="65951CB3"/>
    <w:rsid w:val="65B3106A"/>
    <w:rsid w:val="65B34441"/>
    <w:rsid w:val="65BD0B0C"/>
    <w:rsid w:val="65DA0850"/>
    <w:rsid w:val="65E62BC8"/>
    <w:rsid w:val="65ED3133"/>
    <w:rsid w:val="65ED4D84"/>
    <w:rsid w:val="65FE5979"/>
    <w:rsid w:val="66006A52"/>
    <w:rsid w:val="660E1DD6"/>
    <w:rsid w:val="660E725D"/>
    <w:rsid w:val="66150F8C"/>
    <w:rsid w:val="66322C81"/>
    <w:rsid w:val="66435E29"/>
    <w:rsid w:val="664839E2"/>
    <w:rsid w:val="665664AA"/>
    <w:rsid w:val="66677CE4"/>
    <w:rsid w:val="668A55C7"/>
    <w:rsid w:val="668E32AE"/>
    <w:rsid w:val="66AE1024"/>
    <w:rsid w:val="66AE1F90"/>
    <w:rsid w:val="66BB066E"/>
    <w:rsid w:val="66BD319F"/>
    <w:rsid w:val="66BD7293"/>
    <w:rsid w:val="66D467C4"/>
    <w:rsid w:val="66D5766F"/>
    <w:rsid w:val="66D74036"/>
    <w:rsid w:val="66E61320"/>
    <w:rsid w:val="66F154A3"/>
    <w:rsid w:val="66FD0D79"/>
    <w:rsid w:val="66FE29DF"/>
    <w:rsid w:val="670B7F81"/>
    <w:rsid w:val="674421A7"/>
    <w:rsid w:val="67631E6F"/>
    <w:rsid w:val="676A05FF"/>
    <w:rsid w:val="67743329"/>
    <w:rsid w:val="67750E75"/>
    <w:rsid w:val="67796E17"/>
    <w:rsid w:val="6788209B"/>
    <w:rsid w:val="679C74C2"/>
    <w:rsid w:val="67A854C9"/>
    <w:rsid w:val="67FC6348"/>
    <w:rsid w:val="680E5A6E"/>
    <w:rsid w:val="68153682"/>
    <w:rsid w:val="682A44D3"/>
    <w:rsid w:val="6830602C"/>
    <w:rsid w:val="68444304"/>
    <w:rsid w:val="68595F25"/>
    <w:rsid w:val="68651A64"/>
    <w:rsid w:val="687D3B46"/>
    <w:rsid w:val="689C1F22"/>
    <w:rsid w:val="68B20B21"/>
    <w:rsid w:val="68B25EFD"/>
    <w:rsid w:val="68C43DDE"/>
    <w:rsid w:val="68C57974"/>
    <w:rsid w:val="68C745E0"/>
    <w:rsid w:val="68CA1024"/>
    <w:rsid w:val="68F110FC"/>
    <w:rsid w:val="68F32D6B"/>
    <w:rsid w:val="69337444"/>
    <w:rsid w:val="69367AFD"/>
    <w:rsid w:val="693A2BCA"/>
    <w:rsid w:val="693B027F"/>
    <w:rsid w:val="69562596"/>
    <w:rsid w:val="69612DB1"/>
    <w:rsid w:val="698D5A55"/>
    <w:rsid w:val="698D6C9A"/>
    <w:rsid w:val="69944B40"/>
    <w:rsid w:val="6995158A"/>
    <w:rsid w:val="69A57928"/>
    <w:rsid w:val="69AD0079"/>
    <w:rsid w:val="69C10AC3"/>
    <w:rsid w:val="69D159A5"/>
    <w:rsid w:val="69D35CDB"/>
    <w:rsid w:val="69D37571"/>
    <w:rsid w:val="69E92552"/>
    <w:rsid w:val="6A003320"/>
    <w:rsid w:val="6A061F61"/>
    <w:rsid w:val="6A0811C3"/>
    <w:rsid w:val="6A4A1E5E"/>
    <w:rsid w:val="6A4F7E1C"/>
    <w:rsid w:val="6A6172D3"/>
    <w:rsid w:val="6A6F7730"/>
    <w:rsid w:val="6A83040E"/>
    <w:rsid w:val="6A8E33EC"/>
    <w:rsid w:val="6A922A57"/>
    <w:rsid w:val="6AA12A95"/>
    <w:rsid w:val="6AAD790D"/>
    <w:rsid w:val="6AB25578"/>
    <w:rsid w:val="6ABD1BA3"/>
    <w:rsid w:val="6AD466C4"/>
    <w:rsid w:val="6AEA527C"/>
    <w:rsid w:val="6AF01F78"/>
    <w:rsid w:val="6AF02431"/>
    <w:rsid w:val="6AFE2F20"/>
    <w:rsid w:val="6AFE7604"/>
    <w:rsid w:val="6B150011"/>
    <w:rsid w:val="6B151D4A"/>
    <w:rsid w:val="6B170643"/>
    <w:rsid w:val="6B231C3E"/>
    <w:rsid w:val="6B2337C5"/>
    <w:rsid w:val="6B2F75E6"/>
    <w:rsid w:val="6B3C2EF7"/>
    <w:rsid w:val="6B6124DC"/>
    <w:rsid w:val="6B625FDE"/>
    <w:rsid w:val="6B700F2F"/>
    <w:rsid w:val="6B8070E4"/>
    <w:rsid w:val="6B897E46"/>
    <w:rsid w:val="6B8F7848"/>
    <w:rsid w:val="6BB27EC4"/>
    <w:rsid w:val="6BB8043D"/>
    <w:rsid w:val="6C017934"/>
    <w:rsid w:val="6C247EDD"/>
    <w:rsid w:val="6C325C6F"/>
    <w:rsid w:val="6C694660"/>
    <w:rsid w:val="6C807634"/>
    <w:rsid w:val="6C8258EB"/>
    <w:rsid w:val="6C8827C3"/>
    <w:rsid w:val="6CA01302"/>
    <w:rsid w:val="6CB6636F"/>
    <w:rsid w:val="6CC056AC"/>
    <w:rsid w:val="6CCE3FB0"/>
    <w:rsid w:val="6CE10182"/>
    <w:rsid w:val="6CEC1E52"/>
    <w:rsid w:val="6CFA7E68"/>
    <w:rsid w:val="6D001059"/>
    <w:rsid w:val="6D092D1C"/>
    <w:rsid w:val="6D1631FC"/>
    <w:rsid w:val="6D290EA4"/>
    <w:rsid w:val="6D2D3B07"/>
    <w:rsid w:val="6D461842"/>
    <w:rsid w:val="6D506E0E"/>
    <w:rsid w:val="6D533B00"/>
    <w:rsid w:val="6D67056F"/>
    <w:rsid w:val="6D7138B5"/>
    <w:rsid w:val="6D781DA6"/>
    <w:rsid w:val="6D7C4FFA"/>
    <w:rsid w:val="6D850B75"/>
    <w:rsid w:val="6D8F497C"/>
    <w:rsid w:val="6D940E6A"/>
    <w:rsid w:val="6DA12A3F"/>
    <w:rsid w:val="6DAE21F4"/>
    <w:rsid w:val="6DC56D9A"/>
    <w:rsid w:val="6DD12497"/>
    <w:rsid w:val="6DE11B7F"/>
    <w:rsid w:val="6DE31849"/>
    <w:rsid w:val="6DE40551"/>
    <w:rsid w:val="6DFB0224"/>
    <w:rsid w:val="6E001730"/>
    <w:rsid w:val="6E221969"/>
    <w:rsid w:val="6E362DB6"/>
    <w:rsid w:val="6E447B64"/>
    <w:rsid w:val="6E545ACE"/>
    <w:rsid w:val="6E5F7301"/>
    <w:rsid w:val="6E831FB3"/>
    <w:rsid w:val="6E8339D4"/>
    <w:rsid w:val="6E8A11FB"/>
    <w:rsid w:val="6E92545D"/>
    <w:rsid w:val="6E9F18DB"/>
    <w:rsid w:val="6EB2540B"/>
    <w:rsid w:val="6ECB1443"/>
    <w:rsid w:val="6ED06042"/>
    <w:rsid w:val="6ED6048B"/>
    <w:rsid w:val="6ED62308"/>
    <w:rsid w:val="6EDC5BA8"/>
    <w:rsid w:val="6EDD71B2"/>
    <w:rsid w:val="6EE46A11"/>
    <w:rsid w:val="6F0375E7"/>
    <w:rsid w:val="6F0C723E"/>
    <w:rsid w:val="6F0F4FE3"/>
    <w:rsid w:val="6F1739BC"/>
    <w:rsid w:val="6F2E7385"/>
    <w:rsid w:val="6F347594"/>
    <w:rsid w:val="6F4A7A64"/>
    <w:rsid w:val="6F5D7558"/>
    <w:rsid w:val="6F6B48A0"/>
    <w:rsid w:val="6F6C5047"/>
    <w:rsid w:val="6F7A0072"/>
    <w:rsid w:val="6F8A41B3"/>
    <w:rsid w:val="6F981218"/>
    <w:rsid w:val="6F9F4523"/>
    <w:rsid w:val="6FB02CC7"/>
    <w:rsid w:val="6FB76065"/>
    <w:rsid w:val="6FBC005A"/>
    <w:rsid w:val="6FC117A1"/>
    <w:rsid w:val="6FC55907"/>
    <w:rsid w:val="6FC7776D"/>
    <w:rsid w:val="6FE002F7"/>
    <w:rsid w:val="70151B38"/>
    <w:rsid w:val="701E2B85"/>
    <w:rsid w:val="70365701"/>
    <w:rsid w:val="70375E8C"/>
    <w:rsid w:val="704B505D"/>
    <w:rsid w:val="704D3264"/>
    <w:rsid w:val="705C63D9"/>
    <w:rsid w:val="706D752F"/>
    <w:rsid w:val="706D7FB5"/>
    <w:rsid w:val="70710B8C"/>
    <w:rsid w:val="70765E73"/>
    <w:rsid w:val="70794215"/>
    <w:rsid w:val="70805217"/>
    <w:rsid w:val="708C44A0"/>
    <w:rsid w:val="7092616A"/>
    <w:rsid w:val="70946124"/>
    <w:rsid w:val="70966013"/>
    <w:rsid w:val="70B167C3"/>
    <w:rsid w:val="70BD1ABB"/>
    <w:rsid w:val="70C15F59"/>
    <w:rsid w:val="70D50300"/>
    <w:rsid w:val="70E81B61"/>
    <w:rsid w:val="70F67B30"/>
    <w:rsid w:val="70F85996"/>
    <w:rsid w:val="712A7D3D"/>
    <w:rsid w:val="713D73AD"/>
    <w:rsid w:val="715C471C"/>
    <w:rsid w:val="71761D1F"/>
    <w:rsid w:val="717B0592"/>
    <w:rsid w:val="71920BB9"/>
    <w:rsid w:val="71921C73"/>
    <w:rsid w:val="71973843"/>
    <w:rsid w:val="71A56A0D"/>
    <w:rsid w:val="71BF0A45"/>
    <w:rsid w:val="71C03DE1"/>
    <w:rsid w:val="71C81953"/>
    <w:rsid w:val="71DB7118"/>
    <w:rsid w:val="71E13A69"/>
    <w:rsid w:val="71E45F69"/>
    <w:rsid w:val="71EE21BC"/>
    <w:rsid w:val="720C2CC6"/>
    <w:rsid w:val="720E552D"/>
    <w:rsid w:val="723B0AF8"/>
    <w:rsid w:val="72503383"/>
    <w:rsid w:val="7250408A"/>
    <w:rsid w:val="725634C7"/>
    <w:rsid w:val="72893ADF"/>
    <w:rsid w:val="729C177F"/>
    <w:rsid w:val="729E3D30"/>
    <w:rsid w:val="72BD45A9"/>
    <w:rsid w:val="72C258DB"/>
    <w:rsid w:val="72C31DC6"/>
    <w:rsid w:val="72D81902"/>
    <w:rsid w:val="72F51A07"/>
    <w:rsid w:val="72F81AB8"/>
    <w:rsid w:val="72FE3D67"/>
    <w:rsid w:val="730460A9"/>
    <w:rsid w:val="73096A15"/>
    <w:rsid w:val="734B07E8"/>
    <w:rsid w:val="73552707"/>
    <w:rsid w:val="73584566"/>
    <w:rsid w:val="736A3374"/>
    <w:rsid w:val="736F2504"/>
    <w:rsid w:val="737117D8"/>
    <w:rsid w:val="737B6F33"/>
    <w:rsid w:val="73857E6E"/>
    <w:rsid w:val="73A559F7"/>
    <w:rsid w:val="73A7226A"/>
    <w:rsid w:val="73B85983"/>
    <w:rsid w:val="73C024F6"/>
    <w:rsid w:val="73CF7CFC"/>
    <w:rsid w:val="73D627AB"/>
    <w:rsid w:val="73D94B3E"/>
    <w:rsid w:val="73E83F01"/>
    <w:rsid w:val="73EB28CA"/>
    <w:rsid w:val="73EB46D9"/>
    <w:rsid w:val="73F417FC"/>
    <w:rsid w:val="7404365F"/>
    <w:rsid w:val="740C6B0E"/>
    <w:rsid w:val="740F28FF"/>
    <w:rsid w:val="741C5000"/>
    <w:rsid w:val="74223438"/>
    <w:rsid w:val="742E4CA9"/>
    <w:rsid w:val="743D46DB"/>
    <w:rsid w:val="745B162D"/>
    <w:rsid w:val="745B4AAE"/>
    <w:rsid w:val="746F60FC"/>
    <w:rsid w:val="749062FD"/>
    <w:rsid w:val="7492586B"/>
    <w:rsid w:val="74974DA8"/>
    <w:rsid w:val="74A07E91"/>
    <w:rsid w:val="74A70595"/>
    <w:rsid w:val="74A76EB5"/>
    <w:rsid w:val="74AD38CB"/>
    <w:rsid w:val="74B27753"/>
    <w:rsid w:val="74D21408"/>
    <w:rsid w:val="74F6288A"/>
    <w:rsid w:val="74F74665"/>
    <w:rsid w:val="74FC54BD"/>
    <w:rsid w:val="75145011"/>
    <w:rsid w:val="751A3947"/>
    <w:rsid w:val="752B4FD3"/>
    <w:rsid w:val="752C3E47"/>
    <w:rsid w:val="753E7950"/>
    <w:rsid w:val="75415F18"/>
    <w:rsid w:val="754D6136"/>
    <w:rsid w:val="75514909"/>
    <w:rsid w:val="757B2ED1"/>
    <w:rsid w:val="758646BB"/>
    <w:rsid w:val="75971FAC"/>
    <w:rsid w:val="759E1855"/>
    <w:rsid w:val="75A97CB6"/>
    <w:rsid w:val="75AA42E1"/>
    <w:rsid w:val="75B81A03"/>
    <w:rsid w:val="75BA719B"/>
    <w:rsid w:val="75C8008A"/>
    <w:rsid w:val="75C85162"/>
    <w:rsid w:val="75DB0087"/>
    <w:rsid w:val="75E22F75"/>
    <w:rsid w:val="75E262CF"/>
    <w:rsid w:val="75E90A67"/>
    <w:rsid w:val="75FD043D"/>
    <w:rsid w:val="75FE7AFA"/>
    <w:rsid w:val="76042A25"/>
    <w:rsid w:val="763F3A82"/>
    <w:rsid w:val="76423F36"/>
    <w:rsid w:val="76460902"/>
    <w:rsid w:val="76483D45"/>
    <w:rsid w:val="7657179C"/>
    <w:rsid w:val="76575BD8"/>
    <w:rsid w:val="76640EB5"/>
    <w:rsid w:val="767F51A3"/>
    <w:rsid w:val="76866828"/>
    <w:rsid w:val="768B64DC"/>
    <w:rsid w:val="76CB65A4"/>
    <w:rsid w:val="76DD5F3E"/>
    <w:rsid w:val="76ED3F68"/>
    <w:rsid w:val="76EF16FC"/>
    <w:rsid w:val="7702108A"/>
    <w:rsid w:val="77066411"/>
    <w:rsid w:val="770E3CD3"/>
    <w:rsid w:val="77252C58"/>
    <w:rsid w:val="772659E0"/>
    <w:rsid w:val="77285FDF"/>
    <w:rsid w:val="772A3929"/>
    <w:rsid w:val="77321C44"/>
    <w:rsid w:val="774206C2"/>
    <w:rsid w:val="77436A8F"/>
    <w:rsid w:val="77445258"/>
    <w:rsid w:val="77812E0F"/>
    <w:rsid w:val="778A42A4"/>
    <w:rsid w:val="7795079D"/>
    <w:rsid w:val="77A321F5"/>
    <w:rsid w:val="77AD1937"/>
    <w:rsid w:val="77BD44F7"/>
    <w:rsid w:val="77BE4268"/>
    <w:rsid w:val="77C62891"/>
    <w:rsid w:val="77C7368C"/>
    <w:rsid w:val="77CA0053"/>
    <w:rsid w:val="77D67701"/>
    <w:rsid w:val="77D75731"/>
    <w:rsid w:val="77DA5529"/>
    <w:rsid w:val="77EA1F40"/>
    <w:rsid w:val="77EB06BE"/>
    <w:rsid w:val="781E27C3"/>
    <w:rsid w:val="782A2498"/>
    <w:rsid w:val="782E5F3F"/>
    <w:rsid w:val="783D6BB3"/>
    <w:rsid w:val="785E5360"/>
    <w:rsid w:val="78604543"/>
    <w:rsid w:val="786D1828"/>
    <w:rsid w:val="789379B7"/>
    <w:rsid w:val="789D38CC"/>
    <w:rsid w:val="78B14606"/>
    <w:rsid w:val="78B45525"/>
    <w:rsid w:val="78B567A7"/>
    <w:rsid w:val="78B8762E"/>
    <w:rsid w:val="78D0584B"/>
    <w:rsid w:val="78D622E4"/>
    <w:rsid w:val="78E16E99"/>
    <w:rsid w:val="78E91728"/>
    <w:rsid w:val="78E919E6"/>
    <w:rsid w:val="78F422CA"/>
    <w:rsid w:val="78F71E86"/>
    <w:rsid w:val="79033008"/>
    <w:rsid w:val="79156ABB"/>
    <w:rsid w:val="792006C5"/>
    <w:rsid w:val="79484B25"/>
    <w:rsid w:val="79684FAC"/>
    <w:rsid w:val="796A51B8"/>
    <w:rsid w:val="79764177"/>
    <w:rsid w:val="797B6201"/>
    <w:rsid w:val="79862203"/>
    <w:rsid w:val="79862AE5"/>
    <w:rsid w:val="79906C81"/>
    <w:rsid w:val="799651D3"/>
    <w:rsid w:val="799F338C"/>
    <w:rsid w:val="79B23589"/>
    <w:rsid w:val="79CF6B36"/>
    <w:rsid w:val="79D92F11"/>
    <w:rsid w:val="79DA215F"/>
    <w:rsid w:val="79DF7733"/>
    <w:rsid w:val="79EA5E84"/>
    <w:rsid w:val="79FE4219"/>
    <w:rsid w:val="7A0B3C7D"/>
    <w:rsid w:val="7A1050FF"/>
    <w:rsid w:val="7A136094"/>
    <w:rsid w:val="7A26031E"/>
    <w:rsid w:val="7A273A1B"/>
    <w:rsid w:val="7A522CAF"/>
    <w:rsid w:val="7A7014D1"/>
    <w:rsid w:val="7A732529"/>
    <w:rsid w:val="7A786968"/>
    <w:rsid w:val="7A7A6FFE"/>
    <w:rsid w:val="7A7D6A2A"/>
    <w:rsid w:val="7A7F2634"/>
    <w:rsid w:val="7A951372"/>
    <w:rsid w:val="7A961368"/>
    <w:rsid w:val="7A9C599E"/>
    <w:rsid w:val="7AA169CA"/>
    <w:rsid w:val="7AAE42CA"/>
    <w:rsid w:val="7ABF6FF0"/>
    <w:rsid w:val="7AFB06C7"/>
    <w:rsid w:val="7AFB43A8"/>
    <w:rsid w:val="7B014FF0"/>
    <w:rsid w:val="7B033211"/>
    <w:rsid w:val="7B057F16"/>
    <w:rsid w:val="7B0E58B0"/>
    <w:rsid w:val="7B36495E"/>
    <w:rsid w:val="7B384FF3"/>
    <w:rsid w:val="7B580016"/>
    <w:rsid w:val="7B587834"/>
    <w:rsid w:val="7B5B3E05"/>
    <w:rsid w:val="7B6961C1"/>
    <w:rsid w:val="7B6C0D0F"/>
    <w:rsid w:val="7B7B6EBE"/>
    <w:rsid w:val="7B8464C7"/>
    <w:rsid w:val="7B8F4EEC"/>
    <w:rsid w:val="7B9B26C2"/>
    <w:rsid w:val="7BAC3B88"/>
    <w:rsid w:val="7BB51EF4"/>
    <w:rsid w:val="7BC2266A"/>
    <w:rsid w:val="7BCA1DFE"/>
    <w:rsid w:val="7BD009AB"/>
    <w:rsid w:val="7C021C2D"/>
    <w:rsid w:val="7C0B0E9E"/>
    <w:rsid w:val="7C14745D"/>
    <w:rsid w:val="7C200D65"/>
    <w:rsid w:val="7C241630"/>
    <w:rsid w:val="7C25633C"/>
    <w:rsid w:val="7C587F54"/>
    <w:rsid w:val="7C625B28"/>
    <w:rsid w:val="7C627887"/>
    <w:rsid w:val="7C735BA1"/>
    <w:rsid w:val="7C746E9F"/>
    <w:rsid w:val="7C806FC6"/>
    <w:rsid w:val="7C83229E"/>
    <w:rsid w:val="7C960CD1"/>
    <w:rsid w:val="7C9C4D53"/>
    <w:rsid w:val="7CA25FEE"/>
    <w:rsid w:val="7CC5122E"/>
    <w:rsid w:val="7CC869B6"/>
    <w:rsid w:val="7CD55426"/>
    <w:rsid w:val="7CDB62D8"/>
    <w:rsid w:val="7CE5449F"/>
    <w:rsid w:val="7CE706F8"/>
    <w:rsid w:val="7CEF3A26"/>
    <w:rsid w:val="7CF12A9E"/>
    <w:rsid w:val="7CFC13B3"/>
    <w:rsid w:val="7D0F0D40"/>
    <w:rsid w:val="7D1E186F"/>
    <w:rsid w:val="7D2C18FF"/>
    <w:rsid w:val="7D43371A"/>
    <w:rsid w:val="7D453D33"/>
    <w:rsid w:val="7D4C1393"/>
    <w:rsid w:val="7D54041B"/>
    <w:rsid w:val="7D8153AD"/>
    <w:rsid w:val="7D8528E8"/>
    <w:rsid w:val="7D8927AE"/>
    <w:rsid w:val="7D8D378E"/>
    <w:rsid w:val="7D95076F"/>
    <w:rsid w:val="7DD90389"/>
    <w:rsid w:val="7DEE0603"/>
    <w:rsid w:val="7E003DAF"/>
    <w:rsid w:val="7E0061E3"/>
    <w:rsid w:val="7E0C0498"/>
    <w:rsid w:val="7E4939C8"/>
    <w:rsid w:val="7E4C6855"/>
    <w:rsid w:val="7E505D05"/>
    <w:rsid w:val="7E524D02"/>
    <w:rsid w:val="7E5478DC"/>
    <w:rsid w:val="7E5E73E9"/>
    <w:rsid w:val="7E640791"/>
    <w:rsid w:val="7E691916"/>
    <w:rsid w:val="7E6A710C"/>
    <w:rsid w:val="7E735E2C"/>
    <w:rsid w:val="7E79220C"/>
    <w:rsid w:val="7E7C6339"/>
    <w:rsid w:val="7E9F4AC4"/>
    <w:rsid w:val="7EC31C1D"/>
    <w:rsid w:val="7ECC0848"/>
    <w:rsid w:val="7ED84356"/>
    <w:rsid w:val="7EDD32B8"/>
    <w:rsid w:val="7EF22B33"/>
    <w:rsid w:val="7EFC4C8D"/>
    <w:rsid w:val="7F0413EA"/>
    <w:rsid w:val="7F254166"/>
    <w:rsid w:val="7F2B4C67"/>
    <w:rsid w:val="7F302591"/>
    <w:rsid w:val="7F3917FD"/>
    <w:rsid w:val="7F3D19D5"/>
    <w:rsid w:val="7F490E65"/>
    <w:rsid w:val="7F4B1CE2"/>
    <w:rsid w:val="7F530259"/>
    <w:rsid w:val="7F56642E"/>
    <w:rsid w:val="7F671AF9"/>
    <w:rsid w:val="7F6C4678"/>
    <w:rsid w:val="7F842BC9"/>
    <w:rsid w:val="7F847ED1"/>
    <w:rsid w:val="7FA3307F"/>
    <w:rsid w:val="7FA66083"/>
    <w:rsid w:val="7FA84738"/>
    <w:rsid w:val="7FB05565"/>
    <w:rsid w:val="7FC30F5B"/>
    <w:rsid w:val="7FDB05D2"/>
    <w:rsid w:val="7FDF72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94EDCCC"/>
  <w15:docId w15:val="{634BD6B0-8CB2-43A7-BCDA-41506047B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9">
    <w:name w:val="Normal"/>
    <w:next w:val="-1"/>
    <w:qFormat/>
    <w:pPr>
      <w:widowControl w:val="0"/>
      <w:jc w:val="both"/>
    </w:pPr>
    <w:rPr>
      <w:rFonts w:asciiTheme="minorHAnsi" w:eastAsiaTheme="minorEastAsia" w:hAnsiTheme="minorHAnsi" w:cstheme="minorBidi"/>
      <w:kern w:val="2"/>
      <w:sz w:val="21"/>
      <w:szCs w:val="22"/>
    </w:rPr>
  </w:style>
  <w:style w:type="paragraph" w:styleId="1">
    <w:name w:val="heading 1"/>
    <w:basedOn w:val="a9"/>
    <w:next w:val="a9"/>
    <w:link w:val="10"/>
    <w:qFormat/>
    <w:pPr>
      <w:keepNext/>
      <w:keepLines/>
      <w:spacing w:before="340" w:after="330" w:line="578" w:lineRule="auto"/>
      <w:outlineLvl w:val="0"/>
    </w:pPr>
    <w:rPr>
      <w:rFonts w:ascii="Calibri" w:eastAsia="宋体" w:hAnsi="Calibri" w:cs="Times New Roman"/>
      <w:b/>
      <w:bCs/>
      <w:kern w:val="44"/>
      <w:sz w:val="44"/>
      <w:szCs w:val="44"/>
    </w:rPr>
  </w:style>
  <w:style w:type="paragraph" w:styleId="20">
    <w:name w:val="heading 2"/>
    <w:basedOn w:val="a9"/>
    <w:next w:val="a9"/>
    <w:link w:val="21"/>
    <w:qFormat/>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9"/>
    <w:next w:val="a9"/>
    <w:link w:val="30"/>
    <w:qFormat/>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1">
    <w:name w:val="正文-公1"/>
    <w:basedOn w:val="a9"/>
    <w:qFormat/>
    <w:rPr>
      <w:rFonts w:eastAsia="仿宋_GB2312"/>
    </w:rPr>
  </w:style>
  <w:style w:type="paragraph" w:styleId="TOC7">
    <w:name w:val="toc 7"/>
    <w:basedOn w:val="a9"/>
    <w:next w:val="a9"/>
    <w:uiPriority w:val="39"/>
    <w:unhideWhenUsed/>
    <w:qFormat/>
    <w:pPr>
      <w:ind w:leftChars="1200" w:left="2520"/>
    </w:pPr>
    <w:rPr>
      <w:rFonts w:ascii="Calibri" w:eastAsia="宋体" w:hAnsi="Calibri" w:cs="Times New Roman"/>
    </w:rPr>
  </w:style>
  <w:style w:type="paragraph" w:styleId="ad">
    <w:name w:val="caption"/>
    <w:basedOn w:val="a9"/>
    <w:next w:val="a9"/>
    <w:uiPriority w:val="35"/>
    <w:qFormat/>
    <w:pPr>
      <w:adjustRightInd w:val="0"/>
      <w:snapToGrid w:val="0"/>
      <w:spacing w:line="360" w:lineRule="auto"/>
      <w:ind w:firstLineChars="200" w:firstLine="480"/>
      <w:jc w:val="center"/>
    </w:pPr>
    <w:rPr>
      <w:rFonts w:ascii="Times New Roman" w:eastAsia="黑体" w:hAnsi="Times New Roman" w:cs="Arial"/>
      <w:snapToGrid w:val="0"/>
      <w:kern w:val="0"/>
      <w:szCs w:val="20"/>
    </w:rPr>
  </w:style>
  <w:style w:type="paragraph" w:styleId="a">
    <w:name w:val="Document Map"/>
    <w:basedOn w:val="a9"/>
    <w:link w:val="ae"/>
    <w:unhideWhenUsed/>
    <w:qFormat/>
    <w:pPr>
      <w:numPr>
        <w:ilvl w:val="1"/>
        <w:numId w:val="1"/>
      </w:numPr>
    </w:pPr>
    <w:rPr>
      <w:rFonts w:ascii="宋体" w:eastAsia="宋体" w:hAnsi="Calibri" w:cs="Times New Roman"/>
      <w:kern w:val="0"/>
      <w:sz w:val="18"/>
      <w:szCs w:val="18"/>
    </w:rPr>
  </w:style>
  <w:style w:type="paragraph" w:styleId="af">
    <w:name w:val="annotation text"/>
    <w:basedOn w:val="a9"/>
    <w:link w:val="af0"/>
    <w:qFormat/>
    <w:pPr>
      <w:jc w:val="left"/>
    </w:pPr>
    <w:rPr>
      <w:rFonts w:ascii="Times New Roman" w:eastAsia="宋体" w:hAnsi="Times New Roman" w:cs="Times New Roman"/>
      <w:szCs w:val="24"/>
    </w:rPr>
  </w:style>
  <w:style w:type="paragraph" w:styleId="af1">
    <w:name w:val="Body Text"/>
    <w:basedOn w:val="a9"/>
    <w:uiPriority w:val="1"/>
    <w:qFormat/>
    <w:pPr>
      <w:ind w:left="1080"/>
    </w:pPr>
    <w:rPr>
      <w:szCs w:val="21"/>
    </w:rPr>
  </w:style>
  <w:style w:type="paragraph" w:styleId="af2">
    <w:name w:val="Body Text Indent"/>
    <w:basedOn w:val="a9"/>
    <w:link w:val="af3"/>
    <w:qFormat/>
    <w:pPr>
      <w:spacing w:after="120"/>
      <w:ind w:leftChars="200" w:left="420"/>
    </w:pPr>
    <w:rPr>
      <w:rFonts w:ascii="Times New Roman" w:eastAsia="宋体" w:hAnsi="Times New Roman" w:cs="Times New Roman"/>
      <w:szCs w:val="24"/>
    </w:rPr>
  </w:style>
  <w:style w:type="paragraph" w:styleId="TOC5">
    <w:name w:val="toc 5"/>
    <w:basedOn w:val="a9"/>
    <w:next w:val="a9"/>
    <w:uiPriority w:val="39"/>
    <w:unhideWhenUsed/>
    <w:qFormat/>
    <w:pPr>
      <w:ind w:leftChars="800" w:left="1680"/>
    </w:pPr>
    <w:rPr>
      <w:rFonts w:ascii="Calibri" w:eastAsia="宋体" w:hAnsi="Calibri" w:cs="Times New Roman"/>
    </w:rPr>
  </w:style>
  <w:style w:type="paragraph" w:styleId="TOC3">
    <w:name w:val="toc 3"/>
    <w:basedOn w:val="TOC2"/>
    <w:next w:val="a9"/>
    <w:uiPriority w:val="39"/>
    <w:qFormat/>
  </w:style>
  <w:style w:type="paragraph" w:styleId="TOC2">
    <w:name w:val="toc 2"/>
    <w:basedOn w:val="TOC1"/>
    <w:next w:val="a9"/>
    <w:uiPriority w:val="39"/>
    <w:qFormat/>
  </w:style>
  <w:style w:type="paragraph" w:styleId="TOC1">
    <w:name w:val="toc 1"/>
    <w:next w:val="a9"/>
    <w:uiPriority w:val="39"/>
    <w:qFormat/>
    <w:pPr>
      <w:tabs>
        <w:tab w:val="left" w:pos="567"/>
        <w:tab w:val="right" w:leader="dot" w:pos="8296"/>
      </w:tabs>
      <w:spacing w:line="360" w:lineRule="auto"/>
      <w:jc w:val="both"/>
    </w:pPr>
    <w:rPr>
      <w:rFonts w:ascii="宋体"/>
      <w:sz w:val="21"/>
    </w:rPr>
  </w:style>
  <w:style w:type="paragraph" w:styleId="af4">
    <w:name w:val="Plain Text"/>
    <w:basedOn w:val="a9"/>
    <w:link w:val="af5"/>
    <w:qFormat/>
    <w:rPr>
      <w:rFonts w:ascii="宋体" w:eastAsia="宋体" w:hAnsi="Courier New" w:cs="Courier New"/>
      <w:szCs w:val="21"/>
    </w:rPr>
  </w:style>
  <w:style w:type="paragraph" w:styleId="TOC8">
    <w:name w:val="toc 8"/>
    <w:basedOn w:val="a9"/>
    <w:next w:val="a9"/>
    <w:uiPriority w:val="39"/>
    <w:unhideWhenUsed/>
    <w:qFormat/>
    <w:pPr>
      <w:ind w:leftChars="1400" w:left="2940"/>
    </w:pPr>
    <w:rPr>
      <w:rFonts w:ascii="Calibri" w:eastAsia="宋体" w:hAnsi="Calibri" w:cs="Times New Roman"/>
    </w:rPr>
  </w:style>
  <w:style w:type="paragraph" w:styleId="af6">
    <w:name w:val="Date"/>
    <w:basedOn w:val="a9"/>
    <w:next w:val="a9"/>
    <w:link w:val="af7"/>
    <w:uiPriority w:val="99"/>
    <w:semiHidden/>
    <w:unhideWhenUsed/>
    <w:qFormat/>
    <w:pPr>
      <w:ind w:leftChars="2500" w:left="100"/>
    </w:pPr>
    <w:rPr>
      <w:rFonts w:ascii="Calibri" w:eastAsia="宋体" w:hAnsi="Calibri" w:cs="Times New Roman"/>
    </w:rPr>
  </w:style>
  <w:style w:type="paragraph" w:styleId="af8">
    <w:name w:val="Balloon Text"/>
    <w:basedOn w:val="a9"/>
    <w:link w:val="af9"/>
    <w:uiPriority w:val="99"/>
    <w:semiHidden/>
    <w:unhideWhenUsed/>
    <w:qFormat/>
    <w:rPr>
      <w:rFonts w:ascii="Calibri" w:eastAsia="宋体" w:hAnsi="Calibri" w:cs="Times New Roman"/>
      <w:kern w:val="0"/>
      <w:sz w:val="18"/>
      <w:szCs w:val="18"/>
    </w:rPr>
  </w:style>
  <w:style w:type="paragraph" w:styleId="afa">
    <w:name w:val="footer"/>
    <w:basedOn w:val="a9"/>
    <w:link w:val="afb"/>
    <w:uiPriority w:val="99"/>
    <w:unhideWhenUsed/>
    <w:qFormat/>
    <w:pPr>
      <w:tabs>
        <w:tab w:val="center" w:pos="4153"/>
        <w:tab w:val="right" w:pos="8306"/>
      </w:tabs>
      <w:snapToGrid w:val="0"/>
      <w:jc w:val="left"/>
    </w:pPr>
    <w:rPr>
      <w:sz w:val="18"/>
      <w:szCs w:val="18"/>
    </w:rPr>
  </w:style>
  <w:style w:type="paragraph" w:styleId="afc">
    <w:name w:val="header"/>
    <w:basedOn w:val="a9"/>
    <w:link w:val="afd"/>
    <w:uiPriority w:val="99"/>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9"/>
    <w:next w:val="a9"/>
    <w:uiPriority w:val="39"/>
    <w:unhideWhenUsed/>
    <w:qFormat/>
    <w:pPr>
      <w:ind w:leftChars="600" w:left="1260"/>
    </w:pPr>
    <w:rPr>
      <w:rFonts w:ascii="Calibri" w:eastAsia="宋体" w:hAnsi="Calibri" w:cs="Times New Roman"/>
    </w:rPr>
  </w:style>
  <w:style w:type="paragraph" w:styleId="TOC6">
    <w:name w:val="toc 6"/>
    <w:basedOn w:val="a9"/>
    <w:next w:val="a9"/>
    <w:uiPriority w:val="39"/>
    <w:unhideWhenUsed/>
    <w:qFormat/>
    <w:pPr>
      <w:ind w:leftChars="1000" w:left="2100"/>
    </w:pPr>
    <w:rPr>
      <w:rFonts w:ascii="Calibri" w:eastAsia="宋体" w:hAnsi="Calibri" w:cs="Times New Roman"/>
    </w:rPr>
  </w:style>
  <w:style w:type="paragraph" w:styleId="TOC9">
    <w:name w:val="toc 9"/>
    <w:basedOn w:val="a9"/>
    <w:next w:val="a9"/>
    <w:uiPriority w:val="39"/>
    <w:unhideWhenUsed/>
    <w:qFormat/>
    <w:pPr>
      <w:ind w:leftChars="1600" w:left="3360"/>
    </w:pPr>
    <w:rPr>
      <w:rFonts w:ascii="Calibri" w:eastAsia="宋体" w:hAnsi="Calibri" w:cs="Times New Roman"/>
    </w:rPr>
  </w:style>
  <w:style w:type="paragraph" w:styleId="afe">
    <w:name w:val="Normal (Web)"/>
    <w:basedOn w:val="a9"/>
    <w:uiPriority w:val="99"/>
    <w:semiHidden/>
    <w:unhideWhenUsed/>
    <w:qFormat/>
    <w:pPr>
      <w:spacing w:beforeAutospacing="1" w:afterAutospacing="1"/>
      <w:jc w:val="left"/>
    </w:pPr>
    <w:rPr>
      <w:rFonts w:cs="Times New Roman"/>
      <w:kern w:val="0"/>
      <w:sz w:val="24"/>
    </w:rPr>
  </w:style>
  <w:style w:type="paragraph" w:styleId="aff">
    <w:name w:val="Title"/>
    <w:basedOn w:val="a9"/>
    <w:next w:val="a9"/>
    <w:qFormat/>
    <w:pPr>
      <w:spacing w:before="240" w:after="60"/>
      <w:jc w:val="center"/>
      <w:outlineLvl w:val="0"/>
    </w:pPr>
    <w:rPr>
      <w:rFonts w:ascii="Cambria" w:hAnsi="Cambria"/>
      <w:b/>
      <w:bCs/>
      <w:sz w:val="32"/>
      <w:szCs w:val="32"/>
    </w:rPr>
  </w:style>
  <w:style w:type="paragraph" w:styleId="aff0">
    <w:name w:val="annotation subject"/>
    <w:basedOn w:val="af"/>
    <w:next w:val="af"/>
    <w:link w:val="aff1"/>
    <w:qFormat/>
    <w:rPr>
      <w:b/>
      <w:bCs/>
    </w:rPr>
  </w:style>
  <w:style w:type="table" w:styleId="aff2">
    <w:name w:val="Table Grid"/>
    <w:basedOn w:val="ab"/>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a"/>
    <w:uiPriority w:val="22"/>
    <w:qFormat/>
    <w:rPr>
      <w:b/>
      <w:bCs/>
    </w:rPr>
  </w:style>
  <w:style w:type="character" w:styleId="aff4">
    <w:name w:val="page number"/>
    <w:qFormat/>
  </w:style>
  <w:style w:type="character" w:styleId="aff5">
    <w:name w:val="Emphasis"/>
    <w:basedOn w:val="aa"/>
    <w:uiPriority w:val="20"/>
    <w:qFormat/>
    <w:rPr>
      <w:color w:val="F73131"/>
    </w:rPr>
  </w:style>
  <w:style w:type="character" w:styleId="aff6">
    <w:name w:val="Hyperlink"/>
    <w:uiPriority w:val="99"/>
    <w:qFormat/>
    <w:rPr>
      <w:rFonts w:ascii="Times New Roman" w:eastAsia="宋体" w:hAnsi="Times New Roman"/>
      <w:color w:val="auto"/>
      <w:spacing w:val="0"/>
      <w:w w:val="100"/>
      <w:position w:val="0"/>
      <w:sz w:val="21"/>
      <w:u w:val="none"/>
      <w:vertAlign w:val="baseline"/>
    </w:rPr>
  </w:style>
  <w:style w:type="character" w:styleId="aff7">
    <w:name w:val="annotation reference"/>
    <w:qFormat/>
    <w:rPr>
      <w:sz w:val="21"/>
      <w:szCs w:val="21"/>
    </w:rPr>
  </w:style>
  <w:style w:type="character" w:styleId="HTML">
    <w:name w:val="HTML Cite"/>
    <w:basedOn w:val="aa"/>
    <w:uiPriority w:val="99"/>
    <w:semiHidden/>
    <w:unhideWhenUsed/>
    <w:qFormat/>
    <w:rPr>
      <w:color w:val="008000"/>
    </w:rPr>
  </w:style>
  <w:style w:type="character" w:customStyle="1" w:styleId="afd">
    <w:name w:val="页眉 字符"/>
    <w:basedOn w:val="aa"/>
    <w:link w:val="afc"/>
    <w:uiPriority w:val="99"/>
    <w:qFormat/>
    <w:rPr>
      <w:sz w:val="18"/>
      <w:szCs w:val="18"/>
    </w:rPr>
  </w:style>
  <w:style w:type="character" w:customStyle="1" w:styleId="afb">
    <w:name w:val="页脚 字符"/>
    <w:basedOn w:val="aa"/>
    <w:link w:val="afa"/>
    <w:uiPriority w:val="99"/>
    <w:qFormat/>
    <w:rPr>
      <w:sz w:val="18"/>
      <w:szCs w:val="18"/>
    </w:rPr>
  </w:style>
  <w:style w:type="character" w:customStyle="1" w:styleId="10">
    <w:name w:val="标题 1 字符"/>
    <w:basedOn w:val="aa"/>
    <w:link w:val="1"/>
    <w:qFormat/>
    <w:rPr>
      <w:rFonts w:ascii="Calibri" w:eastAsia="宋体" w:hAnsi="Calibri" w:cs="Times New Roman"/>
      <w:b/>
      <w:bCs/>
      <w:kern w:val="44"/>
      <w:sz w:val="44"/>
      <w:szCs w:val="44"/>
    </w:rPr>
  </w:style>
  <w:style w:type="character" w:customStyle="1" w:styleId="21">
    <w:name w:val="标题 2 字符"/>
    <w:basedOn w:val="aa"/>
    <w:link w:val="20"/>
    <w:qFormat/>
    <w:rPr>
      <w:rFonts w:ascii="Cambria" w:eastAsia="宋体" w:hAnsi="Cambria" w:cs="Times New Roman"/>
      <w:b/>
      <w:bCs/>
      <w:sz w:val="32"/>
      <w:szCs w:val="32"/>
    </w:rPr>
  </w:style>
  <w:style w:type="character" w:customStyle="1" w:styleId="30">
    <w:name w:val="标题 3 字符"/>
    <w:basedOn w:val="aa"/>
    <w:link w:val="3"/>
    <w:qFormat/>
    <w:rPr>
      <w:rFonts w:ascii="Times New Roman" w:eastAsia="宋体" w:hAnsi="Times New Roman" w:cs="Times New Roman"/>
      <w:b/>
      <w:bCs/>
      <w:sz w:val="32"/>
      <w:szCs w:val="32"/>
    </w:rPr>
  </w:style>
  <w:style w:type="paragraph" w:styleId="aff8">
    <w:name w:val="List Paragraph"/>
    <w:basedOn w:val="a9"/>
    <w:uiPriority w:val="34"/>
    <w:qFormat/>
    <w:pPr>
      <w:ind w:firstLineChars="200" w:firstLine="420"/>
    </w:pPr>
    <w:rPr>
      <w:rFonts w:ascii="Calibri" w:eastAsia="宋体" w:hAnsi="Calibri" w:cs="Times New Roman"/>
    </w:rPr>
  </w:style>
  <w:style w:type="character" w:customStyle="1" w:styleId="af9">
    <w:name w:val="批注框文本 字符"/>
    <w:basedOn w:val="aa"/>
    <w:link w:val="af8"/>
    <w:uiPriority w:val="99"/>
    <w:semiHidden/>
    <w:qFormat/>
    <w:rPr>
      <w:rFonts w:ascii="Calibri" w:eastAsia="宋体" w:hAnsi="Calibri" w:cs="Times New Roman"/>
      <w:kern w:val="0"/>
      <w:sz w:val="18"/>
      <w:szCs w:val="18"/>
    </w:rPr>
  </w:style>
  <w:style w:type="paragraph" w:customStyle="1" w:styleId="11">
    <w:name w:val="正文1"/>
    <w:basedOn w:val="a9"/>
    <w:qFormat/>
    <w:pPr>
      <w:ind w:leftChars="400" w:left="960" w:firstLineChars="200" w:firstLine="420"/>
    </w:pPr>
    <w:rPr>
      <w:rFonts w:ascii="宋体" w:eastAsia="宋体" w:hAnsi="宋体" w:cs="Times New Roman"/>
      <w:szCs w:val="21"/>
    </w:rPr>
  </w:style>
  <w:style w:type="paragraph" w:customStyle="1" w:styleId="aff9">
    <w:name w:val="前言、引言标题"/>
    <w:next w:val="a9"/>
    <w:qFormat/>
    <w:pPr>
      <w:shd w:val="clear" w:color="FFFFFF" w:fill="FFFFFF"/>
      <w:tabs>
        <w:tab w:val="left" w:pos="360"/>
      </w:tabs>
      <w:spacing w:before="640" w:after="560"/>
      <w:jc w:val="center"/>
      <w:outlineLvl w:val="0"/>
    </w:pPr>
    <w:rPr>
      <w:rFonts w:ascii="黑体" w:eastAsia="黑体"/>
      <w:sz w:val="32"/>
    </w:rPr>
  </w:style>
  <w:style w:type="paragraph" w:customStyle="1" w:styleId="affa">
    <w:name w:val="章标题"/>
    <w:next w:val="a9"/>
    <w:link w:val="Char"/>
    <w:qFormat/>
    <w:pPr>
      <w:tabs>
        <w:tab w:val="left" w:pos="360"/>
      </w:tabs>
      <w:spacing w:beforeLines="50" w:afterLines="50"/>
      <w:jc w:val="both"/>
      <w:outlineLvl w:val="1"/>
    </w:pPr>
    <w:rPr>
      <w:rFonts w:ascii="黑体" w:eastAsia="黑体"/>
      <w:sz w:val="21"/>
    </w:rPr>
  </w:style>
  <w:style w:type="character" w:customStyle="1" w:styleId="Char">
    <w:name w:val="章标题 Char"/>
    <w:link w:val="affa"/>
    <w:qFormat/>
    <w:rPr>
      <w:rFonts w:ascii="黑体" w:eastAsia="黑体" w:hAnsi="Times New Roman" w:cs="Times New Roman"/>
      <w:kern w:val="0"/>
      <w:szCs w:val="20"/>
    </w:rPr>
  </w:style>
  <w:style w:type="paragraph" w:customStyle="1" w:styleId="affb">
    <w:name w:val="一级条标题"/>
    <w:next w:val="a9"/>
    <w:link w:val="Char0"/>
    <w:qFormat/>
    <w:pPr>
      <w:tabs>
        <w:tab w:val="left" w:pos="360"/>
      </w:tabs>
      <w:outlineLvl w:val="2"/>
    </w:pPr>
    <w:rPr>
      <w:rFonts w:eastAsia="黑体"/>
      <w:sz w:val="21"/>
    </w:rPr>
  </w:style>
  <w:style w:type="character" w:customStyle="1" w:styleId="Char0">
    <w:name w:val="一级条标题 Char"/>
    <w:link w:val="affb"/>
    <w:qFormat/>
    <w:rPr>
      <w:rFonts w:ascii="Times New Roman" w:eastAsia="黑体" w:hAnsi="Times New Roman" w:cs="Times New Roman"/>
      <w:kern w:val="0"/>
      <w:szCs w:val="20"/>
    </w:rPr>
  </w:style>
  <w:style w:type="paragraph" w:customStyle="1" w:styleId="affc">
    <w:name w:val="二级条标题"/>
    <w:basedOn w:val="affb"/>
    <w:next w:val="a9"/>
    <w:link w:val="Char1"/>
    <w:qFormat/>
    <w:pPr>
      <w:outlineLvl w:val="3"/>
    </w:pPr>
  </w:style>
  <w:style w:type="paragraph" w:customStyle="1" w:styleId="affd">
    <w:name w:val="实施日期"/>
    <w:basedOn w:val="a9"/>
    <w:qFormat/>
    <w:pPr>
      <w:framePr w:w="4000" w:h="473" w:hRule="exact" w:vSpace="180" w:wrap="around" w:hAnchor="margin" w:xAlign="right" w:y="13511" w:anchorLock="1"/>
      <w:widowControl/>
      <w:tabs>
        <w:tab w:val="left" w:pos="360"/>
      </w:tabs>
      <w:jc w:val="right"/>
    </w:pPr>
    <w:rPr>
      <w:rFonts w:ascii="Times New Roman" w:eastAsia="黑体" w:hAnsi="Times New Roman" w:cs="Times New Roman"/>
      <w:kern w:val="0"/>
      <w:sz w:val="28"/>
      <w:szCs w:val="20"/>
    </w:rPr>
  </w:style>
  <w:style w:type="paragraph" w:customStyle="1" w:styleId="affe">
    <w:name w:val="图表脚注"/>
    <w:next w:val="a9"/>
    <w:qFormat/>
    <w:pPr>
      <w:tabs>
        <w:tab w:val="left" w:pos="360"/>
      </w:tabs>
      <w:ind w:leftChars="200" w:left="300" w:hangingChars="100" w:hanging="100"/>
      <w:jc w:val="both"/>
    </w:pPr>
    <w:rPr>
      <w:rFonts w:ascii="宋体"/>
      <w:sz w:val="18"/>
    </w:rPr>
  </w:style>
  <w:style w:type="character" w:customStyle="1" w:styleId="ae">
    <w:name w:val="文档结构图 字符"/>
    <w:basedOn w:val="aa"/>
    <w:link w:val="a"/>
    <w:qFormat/>
    <w:rPr>
      <w:rFonts w:ascii="宋体" w:eastAsia="宋体" w:hAnsi="Calibri" w:cs="Times New Roman"/>
      <w:kern w:val="0"/>
      <w:sz w:val="18"/>
      <w:szCs w:val="18"/>
    </w:rPr>
  </w:style>
  <w:style w:type="paragraph" w:customStyle="1" w:styleId="a0">
    <w:name w:val="字母编号列项（一级）"/>
    <w:qFormat/>
    <w:pPr>
      <w:numPr>
        <w:ilvl w:val="2"/>
        <w:numId w:val="1"/>
      </w:numPr>
      <w:ind w:leftChars="200" w:left="840" w:hangingChars="200" w:hanging="420"/>
      <w:jc w:val="both"/>
    </w:pPr>
    <w:rPr>
      <w:sz w:val="21"/>
      <w:szCs w:val="21"/>
    </w:rPr>
  </w:style>
  <w:style w:type="paragraph" w:customStyle="1" w:styleId="2">
    <w:name w:val="样式 段 + 首行缩进:  2 字符"/>
    <w:basedOn w:val="a9"/>
    <w:link w:val="2Char"/>
    <w:qFormat/>
    <w:pPr>
      <w:widowControl/>
      <w:numPr>
        <w:ilvl w:val="4"/>
        <w:numId w:val="1"/>
      </w:numPr>
      <w:autoSpaceDE w:val="0"/>
      <w:autoSpaceDN w:val="0"/>
      <w:ind w:firstLineChars="200" w:firstLine="420"/>
    </w:pPr>
    <w:rPr>
      <w:rFonts w:ascii="Times New Roman" w:eastAsia="宋体" w:hAnsi="Times New Roman" w:cs="Times New Roman"/>
      <w:kern w:val="0"/>
      <w:szCs w:val="21"/>
    </w:rPr>
  </w:style>
  <w:style w:type="character" w:customStyle="1" w:styleId="2Char">
    <w:name w:val="样式 段 + 首行缩进:  2 字符 Char"/>
    <w:link w:val="2"/>
    <w:qFormat/>
    <w:rPr>
      <w:rFonts w:ascii="Times New Roman" w:eastAsia="宋体" w:hAnsi="Times New Roman" w:cs="Times New Roman"/>
      <w:kern w:val="0"/>
      <w:szCs w:val="21"/>
    </w:rPr>
  </w:style>
  <w:style w:type="paragraph" w:customStyle="1" w:styleId="210">
    <w:name w:val="样式 段 + 首行缩进:  2 字符1"/>
    <w:basedOn w:val="a9"/>
    <w:qFormat/>
    <w:pPr>
      <w:widowControl/>
      <w:autoSpaceDE w:val="0"/>
      <w:autoSpaceDN w:val="0"/>
      <w:ind w:firstLineChars="200" w:firstLine="420"/>
    </w:pPr>
    <w:rPr>
      <w:rFonts w:ascii="Times New Roman" w:eastAsia="宋体" w:hAnsi="Times New Roman" w:cs="宋体"/>
      <w:kern w:val="0"/>
      <w:szCs w:val="20"/>
    </w:rPr>
  </w:style>
  <w:style w:type="paragraph" w:customStyle="1" w:styleId="TOC10">
    <w:name w:val="TOC 标题1"/>
    <w:basedOn w:val="1"/>
    <w:next w:val="a9"/>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CharCharCharChar">
    <w:name w:val="Char Char Char Char"/>
    <w:basedOn w:val="a9"/>
    <w:qFormat/>
    <w:pPr>
      <w:snapToGrid w:val="0"/>
      <w:spacing w:line="360" w:lineRule="auto"/>
      <w:ind w:firstLineChars="200" w:firstLine="200"/>
    </w:pPr>
    <w:rPr>
      <w:rFonts w:ascii="Times New Roman" w:eastAsia="仿宋_GB2312" w:hAnsi="Times New Roman" w:cs="Times New Roman"/>
      <w:sz w:val="24"/>
      <w:szCs w:val="24"/>
    </w:rPr>
  </w:style>
  <w:style w:type="paragraph" w:customStyle="1" w:styleId="22">
    <w:name w:val="封面标准号2"/>
    <w:basedOn w:val="a9"/>
    <w:qFormat/>
    <w:pPr>
      <w:framePr w:w="9138" w:h="1244" w:hRule="exact" w:wrap="around" w:vAnchor="page" w:hAnchor="margin" w:y="2908"/>
      <w:kinsoku w:val="0"/>
      <w:overflowPunct w:val="0"/>
      <w:autoSpaceDE w:val="0"/>
      <w:autoSpaceDN w:val="0"/>
      <w:adjustRightInd w:val="0"/>
      <w:spacing w:before="357" w:line="280" w:lineRule="exact"/>
      <w:jc w:val="right"/>
      <w:textAlignment w:val="center"/>
    </w:pPr>
    <w:rPr>
      <w:rFonts w:ascii="Times New Roman" w:eastAsia="宋体" w:hAnsi="Times New Roman" w:cs="Times New Roman"/>
      <w:kern w:val="0"/>
      <w:sz w:val="28"/>
      <w:szCs w:val="20"/>
    </w:rPr>
  </w:style>
  <w:style w:type="paragraph" w:customStyle="1" w:styleId="afff">
    <w:name w:val="段"/>
    <w:link w:val="Char2"/>
    <w:qFormat/>
    <w:pPr>
      <w:autoSpaceDE w:val="0"/>
      <w:autoSpaceDN w:val="0"/>
      <w:ind w:firstLineChars="200" w:firstLine="200"/>
      <w:jc w:val="both"/>
    </w:pPr>
    <w:rPr>
      <w:rFonts w:ascii="宋体"/>
      <w:sz w:val="21"/>
    </w:rPr>
  </w:style>
  <w:style w:type="paragraph" w:customStyle="1" w:styleId="a4">
    <w:name w:val="附录标识"/>
    <w:basedOn w:val="aff9"/>
    <w:qFormat/>
    <w:pPr>
      <w:numPr>
        <w:numId w:val="2"/>
      </w:numPr>
      <w:tabs>
        <w:tab w:val="left" w:pos="6405"/>
      </w:tabs>
      <w:spacing w:after="200"/>
    </w:pPr>
    <w:rPr>
      <w:sz w:val="21"/>
    </w:rPr>
  </w:style>
  <w:style w:type="paragraph" w:customStyle="1" w:styleId="a5">
    <w:name w:val="附录章标题"/>
    <w:next w:val="afff"/>
    <w:qFormat/>
    <w:pPr>
      <w:numPr>
        <w:ilvl w:val="1"/>
        <w:numId w:val="2"/>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6">
    <w:name w:val="附录一级条标题"/>
    <w:basedOn w:val="a5"/>
    <w:next w:val="afff"/>
    <w:qFormat/>
    <w:pPr>
      <w:numPr>
        <w:ilvl w:val="2"/>
      </w:numPr>
      <w:autoSpaceDN w:val="0"/>
      <w:spacing w:beforeLines="0" w:afterLines="0"/>
      <w:outlineLvl w:val="2"/>
    </w:pPr>
  </w:style>
  <w:style w:type="paragraph" w:customStyle="1" w:styleId="a7">
    <w:name w:val="附录三级条标题"/>
    <w:basedOn w:val="a9"/>
    <w:next w:val="afff"/>
    <w:qFormat/>
    <w:pPr>
      <w:widowControl/>
      <w:numPr>
        <w:ilvl w:val="3"/>
        <w:numId w:val="2"/>
      </w:numPr>
      <w:wordWrap w:val="0"/>
      <w:overflowPunct w:val="0"/>
      <w:autoSpaceDE w:val="0"/>
      <w:autoSpaceDN w:val="0"/>
      <w:textAlignment w:val="baseline"/>
      <w:outlineLvl w:val="4"/>
    </w:pPr>
    <w:rPr>
      <w:rFonts w:ascii="黑体" w:eastAsia="黑体" w:hAnsi="Times New Roman" w:cs="Times New Roman"/>
      <w:kern w:val="21"/>
      <w:szCs w:val="20"/>
    </w:rPr>
  </w:style>
  <w:style w:type="paragraph" w:customStyle="1" w:styleId="a8">
    <w:name w:val="附录四级条标题"/>
    <w:basedOn w:val="a7"/>
    <w:next w:val="afff"/>
    <w:qFormat/>
    <w:pPr>
      <w:numPr>
        <w:ilvl w:val="4"/>
      </w:numPr>
      <w:outlineLvl w:val="5"/>
    </w:pPr>
  </w:style>
  <w:style w:type="paragraph" w:customStyle="1" w:styleId="a1">
    <w:name w:val="附录图标题"/>
    <w:next w:val="afff"/>
    <w:qFormat/>
    <w:pPr>
      <w:numPr>
        <w:numId w:val="3"/>
      </w:numPr>
      <w:jc w:val="center"/>
    </w:pPr>
    <w:rPr>
      <w:rFonts w:ascii="黑体" w:eastAsia="黑体"/>
      <w:sz w:val="21"/>
    </w:rPr>
  </w:style>
  <w:style w:type="character" w:customStyle="1" w:styleId="afff0">
    <w:name w:val="个人答复风格"/>
    <w:qFormat/>
    <w:rPr>
      <w:rFonts w:ascii="Arial" w:eastAsia="宋体" w:hAnsi="Arial" w:cs="Arial"/>
      <w:color w:val="auto"/>
      <w:sz w:val="20"/>
    </w:rPr>
  </w:style>
  <w:style w:type="paragraph" w:customStyle="1" w:styleId="12">
    <w:name w:val="标题 1（建设项目复垦规程）"/>
    <w:basedOn w:val="1"/>
    <w:qFormat/>
    <w:pPr>
      <w:spacing w:before="240" w:after="0" w:line="360" w:lineRule="auto"/>
    </w:pPr>
    <w:rPr>
      <w:rFonts w:ascii="黑体" w:eastAsia="黑体" w:hAnsi="Times New Roman" w:cs="宋体"/>
      <w:color w:val="000000"/>
      <w:sz w:val="28"/>
      <w:szCs w:val="20"/>
    </w:rPr>
  </w:style>
  <w:style w:type="character" w:customStyle="1" w:styleId="af7">
    <w:name w:val="日期 字符"/>
    <w:basedOn w:val="aa"/>
    <w:link w:val="af6"/>
    <w:uiPriority w:val="99"/>
    <w:semiHidden/>
    <w:qFormat/>
    <w:rPr>
      <w:rFonts w:ascii="Calibri" w:eastAsia="宋体" w:hAnsi="Calibri" w:cs="Times New Roman"/>
    </w:rPr>
  </w:style>
  <w:style w:type="paragraph" w:customStyle="1" w:styleId="afff1">
    <w:name w:val="四级条标题"/>
    <w:basedOn w:val="a9"/>
    <w:next w:val="afff"/>
    <w:qFormat/>
    <w:pPr>
      <w:widowControl/>
      <w:spacing w:beforeLines="50" w:afterLines="50"/>
      <w:jc w:val="left"/>
      <w:outlineLvl w:val="5"/>
    </w:pPr>
    <w:rPr>
      <w:rFonts w:ascii="黑体" w:eastAsia="黑体" w:hAnsi="Times New Roman" w:cs="Times New Roman"/>
      <w:kern w:val="0"/>
      <w:szCs w:val="21"/>
    </w:rPr>
  </w:style>
  <w:style w:type="paragraph" w:customStyle="1" w:styleId="afff2">
    <w:name w:val="五级条标题"/>
    <w:basedOn w:val="afff1"/>
    <w:next w:val="afff"/>
    <w:qFormat/>
    <w:pPr>
      <w:outlineLvl w:val="6"/>
    </w:pPr>
  </w:style>
  <w:style w:type="character" w:customStyle="1" w:styleId="Char2">
    <w:name w:val="段 Char"/>
    <w:link w:val="afff"/>
    <w:qFormat/>
    <w:rPr>
      <w:rFonts w:ascii="宋体" w:eastAsia="宋体" w:hAnsi="Times New Roman" w:cs="Times New Roman"/>
      <w:kern w:val="0"/>
      <w:szCs w:val="20"/>
    </w:rPr>
  </w:style>
  <w:style w:type="paragraph" w:customStyle="1" w:styleId="afff3">
    <w:name w:val="附录二级条标题"/>
    <w:basedOn w:val="a9"/>
    <w:next w:val="afff"/>
    <w:qFormat/>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cs="Times New Roman"/>
      <w:kern w:val="21"/>
      <w:szCs w:val="20"/>
    </w:rPr>
  </w:style>
  <w:style w:type="paragraph" w:customStyle="1" w:styleId="afff4">
    <w:name w:val="附录五级条标题"/>
    <w:basedOn w:val="a8"/>
    <w:next w:val="afff"/>
    <w:qFormat/>
    <w:pPr>
      <w:numPr>
        <w:ilvl w:val="0"/>
        <w:numId w:val="0"/>
      </w:numPr>
      <w:tabs>
        <w:tab w:val="left" w:pos="360"/>
      </w:tabs>
      <w:spacing w:beforeLines="50" w:afterLines="50"/>
      <w:outlineLvl w:val="6"/>
    </w:pPr>
  </w:style>
  <w:style w:type="paragraph" w:customStyle="1" w:styleId="CharCharCharChar1">
    <w:name w:val="Char Char Char Char1"/>
    <w:basedOn w:val="1"/>
    <w:qFormat/>
    <w:pPr>
      <w:snapToGrid w:val="0"/>
      <w:spacing w:before="240" w:after="240" w:line="348" w:lineRule="auto"/>
    </w:pPr>
    <w:rPr>
      <w:rFonts w:ascii="Tahoma" w:hAnsi="Tahoma"/>
      <w:bCs w:val="0"/>
      <w:kern w:val="2"/>
      <w:sz w:val="24"/>
      <w:szCs w:val="20"/>
    </w:rPr>
  </w:style>
  <w:style w:type="paragraph" w:customStyle="1" w:styleId="a2">
    <w:name w:val="附录表标号"/>
    <w:basedOn w:val="a9"/>
    <w:next w:val="afff"/>
    <w:qFormat/>
    <w:pPr>
      <w:numPr>
        <w:numId w:val="4"/>
      </w:numPr>
      <w:spacing w:line="14" w:lineRule="exact"/>
      <w:jc w:val="center"/>
      <w:outlineLvl w:val="0"/>
    </w:pPr>
    <w:rPr>
      <w:rFonts w:ascii="Times New Roman" w:eastAsia="宋体" w:hAnsi="Times New Roman" w:cs="Times New Roman"/>
      <w:color w:val="FFFFFF"/>
      <w:szCs w:val="24"/>
    </w:rPr>
  </w:style>
  <w:style w:type="paragraph" w:customStyle="1" w:styleId="a3">
    <w:name w:val="附录表标题"/>
    <w:basedOn w:val="a9"/>
    <w:next w:val="afff"/>
    <w:qFormat/>
    <w:pPr>
      <w:numPr>
        <w:ilvl w:val="1"/>
        <w:numId w:val="4"/>
      </w:numPr>
      <w:spacing w:beforeLines="50" w:afterLines="50"/>
      <w:jc w:val="center"/>
    </w:pPr>
    <w:rPr>
      <w:rFonts w:ascii="黑体" w:eastAsia="黑体" w:hAnsi="Times New Roman" w:cs="Times New Roman"/>
      <w:szCs w:val="21"/>
    </w:rPr>
  </w:style>
  <w:style w:type="character" w:customStyle="1" w:styleId="apple-style-span">
    <w:name w:val="apple-style-span"/>
    <w:basedOn w:val="aa"/>
    <w:qFormat/>
  </w:style>
  <w:style w:type="character" w:customStyle="1" w:styleId="af3">
    <w:name w:val="正文文本缩进 字符"/>
    <w:basedOn w:val="aa"/>
    <w:link w:val="af2"/>
    <w:qFormat/>
    <w:rPr>
      <w:rFonts w:ascii="Times New Roman" w:eastAsia="宋体" w:hAnsi="Times New Roman" w:cs="Times New Roman"/>
      <w:szCs w:val="24"/>
    </w:rPr>
  </w:style>
  <w:style w:type="paragraph" w:customStyle="1" w:styleId="afff5">
    <w:name w:val="封面正文"/>
    <w:qFormat/>
    <w:pPr>
      <w:jc w:val="both"/>
    </w:pPr>
  </w:style>
  <w:style w:type="paragraph" w:customStyle="1" w:styleId="afff6">
    <w:name w:val="其他发布部门"/>
    <w:basedOn w:val="a9"/>
    <w:uiPriority w:val="99"/>
    <w:qFormat/>
    <w:pPr>
      <w:framePr w:w="7433" w:h="585" w:hRule="exact" w:hSpace="180" w:vSpace="180" w:wrap="around" w:hAnchor="margin" w:xAlign="center" w:y="14401" w:anchorLock="1"/>
      <w:widowControl/>
      <w:spacing w:line="0" w:lineRule="atLeast"/>
      <w:jc w:val="center"/>
    </w:pPr>
    <w:rPr>
      <w:rFonts w:ascii="黑体" w:eastAsia="黑体" w:hAnsi="Times New Roman" w:cs="Times New Roman"/>
      <w:spacing w:val="20"/>
      <w:w w:val="135"/>
      <w:kern w:val="0"/>
      <w:sz w:val="36"/>
      <w:szCs w:val="20"/>
    </w:rPr>
  </w:style>
  <w:style w:type="character" w:customStyle="1" w:styleId="afff7">
    <w:name w:val="发布"/>
    <w:uiPriority w:val="99"/>
    <w:qFormat/>
    <w:rPr>
      <w:rFonts w:ascii="黑体" w:eastAsia="黑体"/>
      <w:spacing w:val="22"/>
      <w:w w:val="100"/>
      <w:position w:val="3"/>
      <w:sz w:val="28"/>
    </w:rPr>
  </w:style>
  <w:style w:type="paragraph" w:customStyle="1" w:styleId="afff8">
    <w:name w:val="标准书眉_奇数页"/>
    <w:next w:val="a9"/>
    <w:qFormat/>
    <w:pPr>
      <w:tabs>
        <w:tab w:val="center" w:pos="4154"/>
        <w:tab w:val="right" w:pos="8306"/>
      </w:tabs>
      <w:spacing w:after="120"/>
      <w:jc w:val="right"/>
    </w:pPr>
    <w:rPr>
      <w:sz w:val="21"/>
    </w:rPr>
  </w:style>
  <w:style w:type="paragraph" w:customStyle="1" w:styleId="afff9">
    <w:name w:val="文献分类号"/>
    <w:qFormat/>
    <w:pPr>
      <w:framePr w:hSpace="180" w:vSpace="180" w:wrap="around" w:hAnchor="margin" w:y="1" w:anchorLock="1"/>
      <w:widowControl w:val="0"/>
      <w:textAlignment w:val="center"/>
    </w:pPr>
    <w:rPr>
      <w:rFonts w:eastAsia="黑体"/>
      <w:sz w:val="21"/>
    </w:rPr>
  </w:style>
  <w:style w:type="character" w:customStyle="1" w:styleId="2CharChar">
    <w:name w:val="样式 段 + 首行缩进:  2 字符 Char Char"/>
    <w:qFormat/>
    <w:rPr>
      <w:rFonts w:cs="宋体"/>
      <w:sz w:val="21"/>
      <w:szCs w:val="21"/>
    </w:rPr>
  </w:style>
  <w:style w:type="table" w:customStyle="1" w:styleId="13">
    <w:name w:val="网格型1"/>
    <w:basedOn w:val="ab"/>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a">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b">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qFormat/>
    <w:pPr>
      <w:framePr w:wrap="around"/>
      <w:spacing w:before="370" w:line="400" w:lineRule="exact"/>
    </w:pPr>
    <w:rPr>
      <w:rFonts w:ascii="Times New Roman"/>
      <w:sz w:val="28"/>
      <w:szCs w:val="28"/>
    </w:rPr>
  </w:style>
  <w:style w:type="paragraph" w:customStyle="1" w:styleId="afffd">
    <w:name w:val="封面一致性程度标识"/>
    <w:basedOn w:val="afffc"/>
    <w:qFormat/>
    <w:pPr>
      <w:framePr w:wrap="around"/>
      <w:spacing w:before="440"/>
    </w:pPr>
    <w:rPr>
      <w:rFonts w:ascii="宋体" w:eastAsia="宋体"/>
    </w:rPr>
  </w:style>
  <w:style w:type="paragraph" w:customStyle="1" w:styleId="afffe">
    <w:name w:val="封面标准文稿类别"/>
    <w:basedOn w:val="afffd"/>
    <w:qFormat/>
    <w:pPr>
      <w:framePr w:wrap="around"/>
      <w:spacing w:after="160" w:line="240" w:lineRule="auto"/>
    </w:pPr>
    <w:rPr>
      <w:sz w:val="24"/>
    </w:rPr>
  </w:style>
  <w:style w:type="paragraph" w:customStyle="1" w:styleId="affff">
    <w:name w:val="封面标准文稿编辑信息"/>
    <w:basedOn w:val="afffe"/>
    <w:qFormat/>
    <w:pPr>
      <w:framePr w:wrap="around"/>
      <w:spacing w:before="180" w:line="180" w:lineRule="exact"/>
    </w:pPr>
    <w:rPr>
      <w:sz w:val="21"/>
    </w:rPr>
  </w:style>
  <w:style w:type="paragraph" w:customStyle="1" w:styleId="affff0">
    <w:name w:val="其他标准标志"/>
    <w:basedOn w:val="a9"/>
    <w:qFormat/>
    <w:pPr>
      <w:framePr w:w="6101" w:h="1389" w:hRule="exact" w:hSpace="181" w:vSpace="181" w:wrap="around" w:vAnchor="page" w:hAnchor="page" w:x="4673" w:y="942" w:anchorLock="1"/>
      <w:widowControl/>
      <w:shd w:val="solid" w:color="FFFFFF" w:fill="FFFFFF"/>
      <w:spacing w:line="0" w:lineRule="atLeast"/>
      <w:jc w:val="right"/>
    </w:pPr>
    <w:rPr>
      <w:rFonts w:ascii="Times New Roman" w:eastAsia="宋体" w:hAnsi="Times New Roman" w:cs="Times New Roman"/>
      <w:b/>
      <w:w w:val="130"/>
      <w:kern w:val="0"/>
      <w:sz w:val="96"/>
      <w:szCs w:val="96"/>
    </w:rPr>
  </w:style>
  <w:style w:type="paragraph" w:customStyle="1" w:styleId="affff1">
    <w:name w:val="其他标准称谓"/>
    <w:next w:val="a9"/>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2">
    <w:name w:val="其他发布日期"/>
    <w:basedOn w:val="a9"/>
    <w:qFormat/>
    <w:pPr>
      <w:framePr w:w="3997" w:h="471" w:hRule="exact" w:vSpace="181" w:wrap="around" w:vAnchor="page" w:hAnchor="page" w:x="1419" w:y="14097" w:anchorLock="1"/>
      <w:widowControl/>
      <w:jc w:val="left"/>
    </w:pPr>
    <w:rPr>
      <w:rFonts w:ascii="Times New Roman" w:eastAsia="黑体" w:hAnsi="Times New Roman" w:cs="Times New Roman"/>
      <w:kern w:val="0"/>
      <w:sz w:val="28"/>
      <w:szCs w:val="20"/>
    </w:rPr>
  </w:style>
  <w:style w:type="paragraph" w:customStyle="1" w:styleId="affff3">
    <w:name w:val="其他实施日期"/>
    <w:basedOn w:val="a9"/>
    <w:qFormat/>
    <w:pPr>
      <w:framePr w:w="3997" w:h="471" w:hRule="exact" w:vSpace="181" w:wrap="around" w:vAnchor="page" w:hAnchor="page" w:x="7089" w:y="14097" w:anchorLock="1"/>
      <w:widowControl/>
      <w:jc w:val="right"/>
    </w:pPr>
    <w:rPr>
      <w:rFonts w:ascii="Times New Roman" w:eastAsia="黑体" w:hAnsi="Times New Roman" w:cs="Times New Roman"/>
      <w:kern w:val="0"/>
      <w:sz w:val="28"/>
      <w:szCs w:val="20"/>
    </w:rPr>
  </w:style>
  <w:style w:type="character" w:customStyle="1" w:styleId="af5">
    <w:name w:val="纯文本 字符"/>
    <w:basedOn w:val="aa"/>
    <w:link w:val="af4"/>
    <w:qFormat/>
    <w:rPr>
      <w:rFonts w:ascii="宋体" w:eastAsia="宋体" w:hAnsi="Courier New" w:cs="Courier New"/>
      <w:szCs w:val="21"/>
    </w:rPr>
  </w:style>
  <w:style w:type="paragraph" w:customStyle="1" w:styleId="11111111111111111111">
    <w:name w:val="正文11111111111111111111"/>
    <w:basedOn w:val="a9"/>
    <w:link w:val="11111111111111111111Char"/>
    <w:qFormat/>
    <w:pPr>
      <w:ind w:firstLineChars="200" w:firstLine="420"/>
      <w:jc w:val="left"/>
    </w:pPr>
    <w:rPr>
      <w:rFonts w:ascii="Times New Roman" w:eastAsia="宋体" w:hAnsi="Times New Roman" w:cs="Times New Roman"/>
      <w:kern w:val="0"/>
      <w:szCs w:val="21"/>
    </w:rPr>
  </w:style>
  <w:style w:type="character" w:customStyle="1" w:styleId="11111111111111111111Char">
    <w:name w:val="正文11111111111111111111 Char"/>
    <w:link w:val="11111111111111111111"/>
    <w:qFormat/>
    <w:rPr>
      <w:rFonts w:ascii="Times New Roman" w:eastAsia="宋体" w:hAnsi="Times New Roman" w:cs="Times New Roman"/>
      <w:kern w:val="0"/>
      <w:szCs w:val="21"/>
    </w:rPr>
  </w:style>
  <w:style w:type="character" w:customStyle="1" w:styleId="Char1">
    <w:name w:val="二级条标题 Char"/>
    <w:link w:val="affc"/>
    <w:qFormat/>
    <w:rPr>
      <w:rFonts w:ascii="Times New Roman" w:eastAsia="黑体" w:hAnsi="Times New Roman" w:cs="Times New Roman"/>
      <w:kern w:val="0"/>
      <w:szCs w:val="20"/>
    </w:rPr>
  </w:style>
  <w:style w:type="paragraph" w:customStyle="1" w:styleId="Default">
    <w:name w:val="Default"/>
    <w:qFormat/>
    <w:pPr>
      <w:widowControl w:val="0"/>
      <w:autoSpaceDE w:val="0"/>
      <w:autoSpaceDN w:val="0"/>
      <w:adjustRightInd w:val="0"/>
    </w:pPr>
    <w:rPr>
      <w:rFonts w:ascii="黑体" w:eastAsia="黑体" w:hAnsi="Calibri" w:cs="黑体"/>
      <w:color w:val="000000"/>
      <w:sz w:val="24"/>
      <w:szCs w:val="24"/>
    </w:rPr>
  </w:style>
  <w:style w:type="character" w:customStyle="1" w:styleId="af0">
    <w:name w:val="批注文字 字符"/>
    <w:basedOn w:val="aa"/>
    <w:link w:val="af"/>
    <w:qFormat/>
    <w:rPr>
      <w:rFonts w:ascii="Times New Roman" w:eastAsia="宋体" w:hAnsi="Times New Roman" w:cs="Times New Roman"/>
      <w:szCs w:val="24"/>
    </w:rPr>
  </w:style>
  <w:style w:type="character" w:customStyle="1" w:styleId="aff1">
    <w:name w:val="批注主题 字符"/>
    <w:basedOn w:val="af0"/>
    <w:link w:val="aff0"/>
    <w:qFormat/>
    <w:rPr>
      <w:rFonts w:ascii="Times New Roman" w:eastAsia="宋体" w:hAnsi="Times New Roman" w:cs="Times New Roman"/>
      <w:b/>
      <w:bCs/>
      <w:szCs w:val="24"/>
    </w:rPr>
  </w:style>
  <w:style w:type="character" w:styleId="affff4">
    <w:name w:val="Placeholder Text"/>
    <w:uiPriority w:val="99"/>
    <w:semiHidden/>
    <w:qFormat/>
    <w:rPr>
      <w:color w:val="808080"/>
    </w:rPr>
  </w:style>
  <w:style w:type="paragraph" w:customStyle="1" w:styleId="affff5">
    <w:name w:val="终结线"/>
    <w:basedOn w:val="a9"/>
    <w:qFormat/>
    <w:pPr>
      <w:framePr w:hSpace="181" w:vSpace="181" w:wrap="around" w:vAnchor="text" w:hAnchor="margin" w:xAlign="center" w:y="285"/>
    </w:pPr>
    <w:rPr>
      <w:rFonts w:ascii="Times New Roman" w:eastAsia="宋体" w:hAnsi="Times New Roman" w:cs="Times New Roman"/>
      <w:szCs w:val="24"/>
    </w:rPr>
  </w:style>
  <w:style w:type="paragraph" w:customStyle="1" w:styleId="reader-word-layer">
    <w:name w:val="reader-word-layer"/>
    <w:basedOn w:val="a9"/>
    <w:qFormat/>
    <w:pPr>
      <w:widowControl/>
      <w:spacing w:before="100" w:beforeAutospacing="1" w:after="100" w:afterAutospacing="1"/>
      <w:jc w:val="left"/>
    </w:pPr>
    <w:rPr>
      <w:rFonts w:ascii="Times New Roman" w:eastAsia="Times New Roman" w:hAnsi="Times New Roman" w:cs="Times New Roman"/>
      <w:kern w:val="0"/>
      <w:sz w:val="24"/>
      <w:szCs w:val="24"/>
      <w:lang w:val="en-AU"/>
    </w:rPr>
  </w:style>
  <w:style w:type="paragraph" w:customStyle="1" w:styleId="affff6">
    <w:name w:val="标准标志"/>
    <w:next w:val="a9"/>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character" w:customStyle="1" w:styleId="14">
    <w:name w:val="未处理的提及1"/>
    <w:uiPriority w:val="99"/>
    <w:semiHidden/>
    <w:unhideWhenUsed/>
    <w:qFormat/>
    <w:rPr>
      <w:color w:val="605E5C"/>
      <w:shd w:val="clear" w:color="auto" w:fill="E1DFDD"/>
    </w:rPr>
  </w:style>
  <w:style w:type="paragraph" w:customStyle="1" w:styleId="affff7">
    <w:name w:val="样式"/>
    <w:qFormat/>
    <w:pPr>
      <w:widowControl w:val="0"/>
      <w:autoSpaceDE w:val="0"/>
      <w:autoSpaceDN w:val="0"/>
      <w:adjustRightInd w:val="0"/>
    </w:pPr>
    <w:rPr>
      <w:sz w:val="24"/>
      <w:szCs w:val="24"/>
    </w:rPr>
  </w:style>
  <w:style w:type="character" w:customStyle="1" w:styleId="c-icon">
    <w:name w:val="c-icon"/>
    <w:basedOn w:val="aa"/>
    <w:qFormat/>
  </w:style>
  <w:style w:type="character" w:customStyle="1" w:styleId="hover25">
    <w:name w:val="hover25"/>
    <w:basedOn w:val="aa"/>
    <w:qFormat/>
  </w:style>
  <w:style w:type="character" w:customStyle="1" w:styleId="hover26">
    <w:name w:val="hover26"/>
    <w:basedOn w:val="aa"/>
    <w:qFormat/>
    <w:rPr>
      <w:color w:val="315EFB"/>
    </w:rPr>
  </w:style>
  <w:style w:type="paragraph" w:customStyle="1" w:styleId="Bodytext1">
    <w:name w:val="Body text|1"/>
    <w:basedOn w:val="a9"/>
    <w:qFormat/>
    <w:pPr>
      <w:spacing w:line="295" w:lineRule="auto"/>
      <w:ind w:firstLine="400"/>
    </w:pPr>
    <w:rPr>
      <w:rFonts w:ascii="宋体" w:eastAsia="宋体" w:hAnsi="宋体" w:cs="宋体"/>
      <w:sz w:val="22"/>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mee.gov.cn/ywgz/fgbz/bz/bzwb/shjbh/swrwpfbz/201010/t20101009_195342.s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3DCB27-D2A4-40CA-B29B-2CE28F1A5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13</Pages>
  <Words>979</Words>
  <Characters>5584</Characters>
  <Application>Microsoft Office Word</Application>
  <DocSecurity>0</DocSecurity>
  <Lines>46</Lines>
  <Paragraphs>13</Paragraphs>
  <ScaleCrop>false</ScaleCrop>
  <Company/>
  <LinksUpToDate>false</LinksUpToDate>
  <CharactersWithSpaces>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Re-Cwert-農</dc:creator>
  <cp:lastModifiedBy>Ke wenshun</cp:lastModifiedBy>
  <cp:revision>5</cp:revision>
  <dcterms:created xsi:type="dcterms:W3CDTF">2023-06-07T00:33:00Z</dcterms:created>
  <dcterms:modified xsi:type="dcterms:W3CDTF">2023-08-14T02:43:00Z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DF73A26D67594DCFBEB6B30B7E9B109D_13</vt:lpwstr>
  </property>
</Properties>
</file>