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F268E" w14:textId="77777777" w:rsidR="00BA1C4E" w:rsidRDefault="00BA1C4E">
      <w:pPr>
        <w:rPr>
          <w:rFonts w:ascii="方正黑体简体" w:eastAsia="方正黑体简体"/>
          <w:color w:val="000000"/>
          <w:szCs w:val="32"/>
        </w:rPr>
      </w:pPr>
      <w:bookmarkStart w:id="0" w:name="_Toc499110425"/>
      <w:bookmarkStart w:id="1" w:name="_Toc505865641"/>
    </w:p>
    <w:p w14:paraId="3436D2F4" w14:textId="77777777" w:rsidR="00BA1C4E" w:rsidRDefault="008E428B">
      <w:pPr>
        <w:rPr>
          <w:rFonts w:ascii="黑体" w:eastAsia="黑体" w:hAnsi="黑体"/>
          <w:color w:val="000000"/>
        </w:rPr>
      </w:pPr>
      <w:r>
        <w:rPr>
          <w:rFonts w:eastAsia="黑体"/>
          <w:color w:val="000000"/>
        </w:rPr>
        <w:t xml:space="preserve">ICS </w:t>
      </w:r>
      <w:r>
        <w:rPr>
          <w:rFonts w:ascii="黑体" w:eastAsia="黑体" w:hAnsi="黑体"/>
          <w:color w:val="000000"/>
        </w:rPr>
        <w:t>XX</w:t>
      </w:r>
      <w:r>
        <w:rPr>
          <w:rFonts w:ascii="黑体" w:eastAsia="黑体" w:hAnsi="黑体" w:hint="eastAsia"/>
          <w:color w:val="000000"/>
        </w:rPr>
        <w:t>.</w:t>
      </w:r>
      <w:r>
        <w:rPr>
          <w:rFonts w:ascii="黑体" w:eastAsia="黑体" w:hAnsi="黑体"/>
          <w:color w:val="000000"/>
        </w:rPr>
        <w:t>XXX</w:t>
      </w:r>
    </w:p>
    <w:p w14:paraId="3647AB6A" w14:textId="77777777" w:rsidR="00BA1C4E" w:rsidRDefault="008E428B">
      <w:pPr>
        <w:rPr>
          <w:rFonts w:ascii="黑体" w:eastAsia="黑体" w:hAnsi="黑体"/>
          <w:color w:val="000000"/>
        </w:rPr>
      </w:pPr>
      <w:r>
        <w:rPr>
          <w:rFonts w:ascii="黑体" w:eastAsia="黑体" w:hAnsi="黑体"/>
          <w:color w:val="000000"/>
        </w:rPr>
        <w:t>XX</w:t>
      </w:r>
    </w:p>
    <w:p w14:paraId="7687D400" w14:textId="77777777" w:rsidR="00BA1C4E" w:rsidRDefault="00BA1C4E">
      <w:pPr>
        <w:rPr>
          <w:rFonts w:ascii="宋体" w:hAnsi="宋体"/>
          <w:color w:val="000000"/>
          <w:szCs w:val="22"/>
        </w:rPr>
      </w:pPr>
    </w:p>
    <w:p w14:paraId="53DD03AD" w14:textId="77777777" w:rsidR="00BA1C4E" w:rsidRDefault="008E428B">
      <w:pPr>
        <w:jc w:val="center"/>
        <w:rPr>
          <w:rFonts w:ascii="黑体" w:eastAsia="黑体" w:hAnsi="黑体"/>
          <w:color w:val="000000"/>
          <w:sz w:val="84"/>
          <w:szCs w:val="84"/>
        </w:rPr>
      </w:pPr>
      <w:r>
        <w:rPr>
          <w:rFonts w:ascii="黑体" w:eastAsia="黑体" w:hAnsi="黑体" w:hint="eastAsia"/>
          <w:color w:val="000000"/>
          <w:sz w:val="84"/>
          <w:szCs w:val="84"/>
        </w:rPr>
        <w:t>团   体   标   准</w:t>
      </w:r>
    </w:p>
    <w:p w14:paraId="60E2F177" w14:textId="77777777" w:rsidR="00BA1C4E" w:rsidRDefault="008E428B">
      <w:pPr>
        <w:jc w:val="right"/>
        <w:rPr>
          <w:rFonts w:ascii="黑体" w:eastAsia="黑体" w:hAnsi="黑体"/>
          <w:color w:val="000000"/>
          <w:sz w:val="28"/>
          <w:szCs w:val="21"/>
        </w:rPr>
      </w:pPr>
      <w:r>
        <w:t xml:space="preserve"> </w:t>
      </w:r>
      <w:r>
        <w:rPr>
          <w:rFonts w:ascii="黑体" w:eastAsia="黑体" w:hAnsi="黑体"/>
          <w:color w:val="000000"/>
          <w:sz w:val="28"/>
          <w:szCs w:val="21"/>
        </w:rPr>
        <w:t>T/HAEPCI 40-202</w:t>
      </w:r>
      <w:r>
        <w:rPr>
          <w:rFonts w:ascii="黑体" w:eastAsia="黑体" w:hAnsi="黑体" w:hint="eastAsia"/>
          <w:color w:val="000000"/>
          <w:sz w:val="28"/>
          <w:szCs w:val="21"/>
        </w:rPr>
        <w:t>3</w:t>
      </w:r>
    </w:p>
    <w:p w14:paraId="7D565877" w14:textId="77777777" w:rsidR="00BA1C4E" w:rsidRDefault="00BA1C4E">
      <w:pPr>
        <w:jc w:val="right"/>
        <w:rPr>
          <w:rFonts w:ascii="宋体" w:hAnsi="宋体"/>
          <w:color w:val="000000"/>
        </w:rPr>
      </w:pPr>
    </w:p>
    <w:p w14:paraId="748CBF32" w14:textId="77777777" w:rsidR="00BA1C4E" w:rsidRDefault="00EB2942">
      <w:pPr>
        <w:rPr>
          <w:rFonts w:ascii="Calibri" w:hAnsi="Calibri"/>
          <w:b/>
          <w:color w:val="000000"/>
          <w:sz w:val="48"/>
          <w:szCs w:val="48"/>
        </w:rPr>
      </w:pPr>
      <w:r>
        <w:rPr>
          <w:color w:val="000000"/>
        </w:rPr>
        <w:pict w14:anchorId="568FC5A4">
          <v:shapetype id="_x0000_t32" coordsize="21600,21600" o:spt="32" o:oned="t" path="m,l21600,21600e" filled="f">
            <v:path arrowok="t" fillok="f" o:connecttype="none"/>
            <o:lock v:ext="edit" shapetype="t"/>
          </v:shapetype>
          <v:shape id="AutoShape 4" o:spid="_x0000_s2050" type="#_x0000_t32" style="position:absolute;left:0;text-align:left;margin-left:0;margin-top:5.6pt;width:467.7pt;height:0;z-index:251659264;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" strokeweight="1.5pt">
            <w10:wrap anchorx="margin"/>
          </v:shape>
        </w:pict>
      </w:r>
    </w:p>
    <w:p w14:paraId="649E14BE" w14:textId="77777777" w:rsidR="00BA1C4E" w:rsidRDefault="00BA1C4E">
      <w:pPr>
        <w:rPr>
          <w:rFonts w:ascii="Calibri" w:hAnsi="Calibri"/>
          <w:b/>
          <w:color w:val="000000"/>
          <w:sz w:val="48"/>
          <w:szCs w:val="48"/>
        </w:rPr>
      </w:pPr>
    </w:p>
    <w:p w14:paraId="1F8EBA02" w14:textId="77777777" w:rsidR="00BA1C4E" w:rsidRDefault="00BA1C4E">
      <w:pPr>
        <w:rPr>
          <w:rFonts w:ascii="Calibri" w:hAnsi="Calibri"/>
          <w:b/>
          <w:color w:val="000000"/>
          <w:sz w:val="48"/>
          <w:szCs w:val="48"/>
        </w:rPr>
      </w:pPr>
    </w:p>
    <w:p w14:paraId="4182914E" w14:textId="77777777" w:rsidR="00BA1C4E" w:rsidRDefault="00BA1C4E">
      <w:pPr>
        <w:rPr>
          <w:rFonts w:ascii="Calibri" w:hAnsi="Calibri"/>
          <w:b/>
          <w:color w:val="000000"/>
          <w:sz w:val="48"/>
          <w:szCs w:val="48"/>
        </w:rPr>
      </w:pPr>
    </w:p>
    <w:p w14:paraId="490D281D" w14:textId="77777777" w:rsidR="00BA1C4E" w:rsidRDefault="00BA1C4E">
      <w:pPr>
        <w:rPr>
          <w:rFonts w:ascii="Calibri" w:hAnsi="Calibri"/>
          <w:b/>
          <w:color w:val="000000"/>
          <w:sz w:val="48"/>
          <w:szCs w:val="48"/>
        </w:rPr>
      </w:pPr>
    </w:p>
    <w:p w14:paraId="18C8C504" w14:textId="77777777" w:rsidR="00BA1C4E" w:rsidRDefault="008E428B">
      <w:pPr>
        <w:snapToGrid w:val="0"/>
        <w:spacing w:line="360" w:lineRule="auto"/>
        <w:jc w:val="center"/>
        <w:rPr>
          <w:rFonts w:eastAsia="黑体"/>
          <w:color w:val="000000"/>
          <w:sz w:val="48"/>
          <w:szCs w:val="48"/>
        </w:rPr>
      </w:pPr>
      <w:r>
        <w:rPr>
          <w:rFonts w:eastAsia="黑体" w:hint="eastAsia"/>
          <w:color w:val="000000"/>
          <w:sz w:val="48"/>
          <w:szCs w:val="48"/>
        </w:rPr>
        <w:t>有色金属冶炼地块重金属污染土壤分级治理技术规范</w:t>
      </w:r>
    </w:p>
    <w:p w14:paraId="15285C45" w14:textId="76F54D2D" w:rsidR="00BA1C4E" w:rsidRDefault="008E428B">
      <w:pPr>
        <w:jc w:val="center"/>
        <w:rPr>
          <w:rFonts w:eastAsia="黑体"/>
          <w:color w:val="000000"/>
          <w:sz w:val="30"/>
          <w:szCs w:val="30"/>
        </w:rPr>
      </w:pPr>
      <w:r>
        <w:rPr>
          <w:rFonts w:eastAsia="黑体"/>
          <w:color w:val="000000"/>
          <w:sz w:val="30"/>
          <w:szCs w:val="30"/>
        </w:rPr>
        <w:t xml:space="preserve">Technical specifications </w:t>
      </w:r>
      <w:r w:rsidR="0048541F">
        <w:rPr>
          <w:rFonts w:eastAsia="黑体"/>
          <w:color w:val="000000"/>
          <w:sz w:val="30"/>
          <w:szCs w:val="30"/>
        </w:rPr>
        <w:t>for</w:t>
      </w:r>
      <w:r>
        <w:rPr>
          <w:rFonts w:eastAsia="黑体"/>
          <w:color w:val="000000"/>
          <w:sz w:val="30"/>
          <w:szCs w:val="30"/>
        </w:rPr>
        <w:t xml:space="preserve"> grading control for heavy metal contaminated soil in non-ferrous metal smelting plots</w:t>
      </w:r>
    </w:p>
    <w:p w14:paraId="6E081C97" w14:textId="0F622216" w:rsidR="00BA1C4E" w:rsidRDefault="003A0A79" w:rsidP="003A0A79">
      <w:pPr>
        <w:jc w:val="center"/>
        <w:rPr>
          <w:rFonts w:ascii="Calibri" w:hAnsi="Calibri"/>
          <w:color w:val="000000"/>
          <w:sz w:val="30"/>
          <w:szCs w:val="30"/>
        </w:rPr>
      </w:pPr>
      <w:r w:rsidRPr="006703EA">
        <w:rPr>
          <w:rFonts w:ascii="黑体" w:eastAsia="黑体" w:hAnsi="黑体" w:hint="eastAsia"/>
          <w:sz w:val="30"/>
          <w:szCs w:val="30"/>
        </w:rPr>
        <w:t>（征求意见稿）</w:t>
      </w:r>
    </w:p>
    <w:p w14:paraId="483DD18E" w14:textId="77777777" w:rsidR="00BA1C4E" w:rsidRDefault="00BA1C4E">
      <w:pPr>
        <w:spacing w:line="480" w:lineRule="auto"/>
        <w:rPr>
          <w:rFonts w:ascii="Calibri" w:hAnsi="Calibri"/>
          <w:color w:val="000000"/>
          <w:sz w:val="30"/>
          <w:szCs w:val="30"/>
        </w:rPr>
      </w:pPr>
    </w:p>
    <w:p w14:paraId="069D0271" w14:textId="77777777" w:rsidR="00BA1C4E" w:rsidRDefault="00BA1C4E">
      <w:pPr>
        <w:spacing w:line="480" w:lineRule="auto"/>
        <w:rPr>
          <w:rFonts w:ascii="Calibri" w:hAnsi="Calibri"/>
          <w:color w:val="000000"/>
          <w:sz w:val="30"/>
          <w:szCs w:val="30"/>
        </w:rPr>
      </w:pPr>
    </w:p>
    <w:p w14:paraId="507351F6" w14:textId="77777777" w:rsidR="00BA1C4E" w:rsidRDefault="00BA1C4E">
      <w:pPr>
        <w:spacing w:line="600" w:lineRule="auto"/>
        <w:rPr>
          <w:rFonts w:ascii="Calibri" w:hAnsi="Calibri"/>
          <w:color w:val="000000"/>
          <w:sz w:val="30"/>
          <w:szCs w:val="30"/>
        </w:rPr>
      </w:pPr>
    </w:p>
    <w:p w14:paraId="731C2AF2" w14:textId="77777777" w:rsidR="00BA1C4E" w:rsidRDefault="00BA1C4E">
      <w:pPr>
        <w:spacing w:line="600" w:lineRule="auto"/>
        <w:rPr>
          <w:rFonts w:ascii="Calibri" w:hAnsi="Calibri"/>
          <w:color w:val="000000"/>
          <w:sz w:val="30"/>
          <w:szCs w:val="30"/>
        </w:rPr>
      </w:pPr>
    </w:p>
    <w:p w14:paraId="1AA88B4A" w14:textId="77777777" w:rsidR="00BA1C4E" w:rsidRDefault="008E428B">
      <w:pPr>
        <w:spacing w:line="600" w:lineRule="auto"/>
        <w:jc w:val="center"/>
        <w:rPr>
          <w:rFonts w:ascii="方正粗圆简体" w:eastAsia="方正粗圆简体" w:hAnsi="方正粗宋简体"/>
          <w:color w:val="000000"/>
          <w:sz w:val="30"/>
          <w:szCs w:val="30"/>
          <w:u w:val="single"/>
        </w:rPr>
      </w:pPr>
      <w:proofErr w:type="spellStart"/>
      <w:r>
        <w:rPr>
          <w:color w:val="000000"/>
          <w:sz w:val="30"/>
          <w:szCs w:val="30"/>
          <w:u w:val="single"/>
        </w:rPr>
        <w:t>xxxx</w:t>
      </w:r>
      <w:proofErr w:type="spellEnd"/>
      <w:r>
        <w:rPr>
          <w:color w:val="000000"/>
          <w:sz w:val="30"/>
          <w:szCs w:val="30"/>
          <w:u w:val="single"/>
        </w:rPr>
        <w:t>-xx-xx</w:t>
      </w:r>
      <w:r>
        <w:rPr>
          <w:rFonts w:ascii="黑体" w:eastAsia="黑体" w:hAnsi="黑体" w:hint="eastAsia"/>
          <w:color w:val="000000"/>
          <w:sz w:val="30"/>
          <w:szCs w:val="30"/>
          <w:u w:val="single"/>
        </w:rPr>
        <w:t>发布</w:t>
      </w:r>
      <w:r>
        <w:rPr>
          <w:color w:val="000000"/>
          <w:sz w:val="30"/>
          <w:szCs w:val="30"/>
          <w:u w:val="single"/>
        </w:rPr>
        <w:t xml:space="preserve">                                  </w:t>
      </w:r>
      <w:proofErr w:type="spellStart"/>
      <w:r>
        <w:rPr>
          <w:color w:val="000000"/>
          <w:sz w:val="30"/>
          <w:szCs w:val="30"/>
          <w:u w:val="single"/>
        </w:rPr>
        <w:t>xxxx</w:t>
      </w:r>
      <w:proofErr w:type="spellEnd"/>
      <w:r>
        <w:rPr>
          <w:color w:val="000000"/>
          <w:sz w:val="30"/>
          <w:szCs w:val="30"/>
          <w:u w:val="single"/>
        </w:rPr>
        <w:t>-xx-xx</w:t>
      </w:r>
      <w:r>
        <w:rPr>
          <w:rFonts w:ascii="黑体" w:eastAsia="黑体" w:hAnsi="黑体" w:hint="eastAsia"/>
          <w:color w:val="000000"/>
          <w:sz w:val="30"/>
          <w:szCs w:val="30"/>
          <w:u w:val="single"/>
        </w:rPr>
        <w:t>实施</w:t>
      </w:r>
    </w:p>
    <w:p w14:paraId="4EF455A5" w14:textId="733A01D3" w:rsidR="00BA1C4E" w:rsidRDefault="008E428B">
      <w:pPr>
        <w:jc w:val="center"/>
        <w:rPr>
          <w:rFonts w:ascii="黑体" w:eastAsia="黑体" w:hAnsi="黑体"/>
          <w:color w:val="000000"/>
          <w:sz w:val="30"/>
          <w:szCs w:val="30"/>
        </w:rPr>
      </w:pPr>
      <w:r>
        <w:rPr>
          <w:rFonts w:ascii="黑体" w:eastAsia="黑体" w:hAnsi="黑体" w:hint="eastAsia"/>
          <w:color w:val="000000"/>
          <w:sz w:val="30"/>
          <w:szCs w:val="30"/>
        </w:rPr>
        <w:t>湖南省环境治理行业协会</w:t>
      </w:r>
      <w:r>
        <w:rPr>
          <w:rFonts w:ascii="宋体" w:hAnsi="宋体" w:hint="eastAsia"/>
          <w:color w:val="000000"/>
          <w:sz w:val="30"/>
          <w:szCs w:val="30"/>
        </w:rPr>
        <w:t xml:space="preserve"> </w:t>
      </w:r>
      <w:r>
        <w:rPr>
          <w:rFonts w:ascii="黑体" w:eastAsia="黑体" w:hAnsi="黑体" w:hint="eastAsia"/>
          <w:color w:val="000000"/>
          <w:sz w:val="30"/>
          <w:szCs w:val="30"/>
        </w:rPr>
        <w:t>发布</w:t>
      </w:r>
    </w:p>
    <w:p w14:paraId="1364F603" w14:textId="77777777" w:rsidR="002D373A" w:rsidRDefault="002D373A">
      <w:pPr>
        <w:jc w:val="center"/>
        <w:rPr>
          <w:rFonts w:ascii="黑体" w:eastAsia="黑体" w:hAnsi="黑体"/>
          <w:color w:val="000000"/>
          <w:sz w:val="30"/>
          <w:szCs w:val="30"/>
        </w:rPr>
      </w:pPr>
    </w:p>
    <w:p w14:paraId="0E868AE3" w14:textId="77777777" w:rsidR="00BA1C4E" w:rsidRDefault="00BA1C4E">
      <w:pPr>
        <w:rPr>
          <w:color w:val="000000"/>
        </w:rPr>
      </w:pPr>
    </w:p>
    <w:p w14:paraId="5A8AE82D" w14:textId="77777777" w:rsidR="00BA1C4E" w:rsidRDefault="00BA1C4E">
      <w:pPr>
        <w:pStyle w:val="affffa"/>
        <w:jc w:val="both"/>
        <w:rPr>
          <w:color w:val="000000"/>
        </w:rPr>
        <w:sectPr w:rsidR="00BA1C4E">
          <w:pgSz w:w="11906" w:h="16838"/>
          <w:pgMar w:top="567" w:right="1134" w:bottom="1134" w:left="1417" w:header="1418" w:footer="1134" w:gutter="0"/>
          <w:pgNumType w:fmt="upperRoman" w:start="1"/>
          <w:cols w:space="720"/>
          <w:formProt w:val="0"/>
          <w:docGrid w:type="lines" w:linePitch="312"/>
        </w:sectPr>
      </w:pPr>
    </w:p>
    <w:p w14:paraId="1DF9EBA7" w14:textId="77777777" w:rsidR="00BA1C4E" w:rsidRPr="00384C99" w:rsidRDefault="008E428B" w:rsidP="00384C99">
      <w:pPr>
        <w:pStyle w:val="affffa"/>
        <w:rPr>
          <w:color w:val="000000"/>
        </w:rPr>
      </w:pPr>
      <w:bookmarkStart w:id="2" w:name="_Toc37234699"/>
      <w:bookmarkStart w:id="3" w:name="_Toc523930431"/>
      <w:r w:rsidRPr="00384C99">
        <w:rPr>
          <w:rFonts w:hint="eastAsia"/>
          <w:color w:val="000000"/>
        </w:rPr>
        <w:lastRenderedPageBreak/>
        <w:t>目</w:t>
      </w:r>
      <w:bookmarkStart w:id="4" w:name="BKML"/>
      <w:r w:rsidRPr="00384C99">
        <w:rPr>
          <w:rFonts w:hint="eastAsia"/>
          <w:color w:val="000000"/>
        </w:rPr>
        <w:t>  次</w:t>
      </w:r>
      <w:bookmarkEnd w:id="2"/>
      <w:bookmarkEnd w:id="3"/>
      <w:bookmarkEnd w:id="4"/>
    </w:p>
    <w:sdt>
      <w:sdtPr>
        <w:rPr>
          <w:rFonts w:ascii="Times New Roman"/>
          <w:szCs w:val="24"/>
          <w:lang w:val="zh-CN"/>
        </w:rPr>
        <w:id w:val="313997298"/>
        <w:docPartObj>
          <w:docPartGallery w:val="Table of Contents"/>
          <w:docPartUnique/>
        </w:docPartObj>
      </w:sdtPr>
      <w:sdtEndPr>
        <w:rPr>
          <w:rFonts w:ascii="宋体"/>
          <w:noProof/>
          <w:szCs w:val="21"/>
          <w:lang w:val="en-US"/>
        </w:rPr>
      </w:sdtEndPr>
      <w:sdtContent>
        <w:p w14:paraId="17D22F53" w14:textId="5BD79809" w:rsidR="00BA1C4E" w:rsidRPr="00384C99" w:rsidRDefault="008E428B" w:rsidP="009F3E47">
          <w:pPr>
            <w:pStyle w:val="TOC1"/>
            <w:spacing w:beforeLines="0" w:afterLines="0"/>
            <w:jc w:val="both"/>
            <w:rPr>
              <w:noProof/>
            </w:rPr>
          </w:pPr>
          <w:r w:rsidRPr="00384C99">
            <w:rPr>
              <w:noProof/>
            </w:rPr>
            <w:fldChar w:fldCharType="begin"/>
          </w:r>
          <w:r w:rsidRPr="00384C99">
            <w:rPr>
              <w:noProof/>
            </w:rPr>
            <w:instrText xml:space="preserve"> TOC \o "1-3" \h \z \u </w:instrText>
          </w:r>
          <w:r w:rsidRPr="00384C99">
            <w:rPr>
              <w:noProof/>
            </w:rPr>
            <w:fldChar w:fldCharType="separate"/>
          </w:r>
          <w:hyperlink w:anchor="_Toc140993827" w:history="1">
            <w:r w:rsidRPr="00384C99">
              <w:rPr>
                <w:noProof/>
              </w:rPr>
              <w:t>前言</w:t>
            </w:r>
            <w:r w:rsidRPr="00384C99">
              <w:rPr>
                <w:noProof/>
              </w:rPr>
              <w:tab/>
            </w:r>
            <w:r w:rsidRPr="00384C99">
              <w:rPr>
                <w:noProof/>
              </w:rPr>
              <w:fldChar w:fldCharType="begin"/>
            </w:r>
            <w:r w:rsidRPr="00384C99">
              <w:rPr>
                <w:noProof/>
              </w:rPr>
              <w:instrText xml:space="preserve"> PAGEREF _Toc140993827 \h </w:instrText>
            </w:r>
            <w:r w:rsidRPr="00384C99">
              <w:rPr>
                <w:noProof/>
              </w:rPr>
            </w:r>
            <w:r w:rsidRPr="00384C99">
              <w:rPr>
                <w:noProof/>
              </w:rPr>
              <w:fldChar w:fldCharType="separate"/>
            </w:r>
            <w:r w:rsidR="005977EC">
              <w:rPr>
                <w:noProof/>
              </w:rPr>
              <w:t>II</w:t>
            </w:r>
            <w:r w:rsidRPr="00384C99">
              <w:rPr>
                <w:noProof/>
              </w:rPr>
              <w:fldChar w:fldCharType="end"/>
            </w:r>
          </w:hyperlink>
        </w:p>
        <w:p w14:paraId="756E4BD4" w14:textId="3D212220" w:rsidR="00BA1C4E" w:rsidRPr="00384C99" w:rsidRDefault="00EB2942" w:rsidP="009F3E47">
          <w:pPr>
            <w:pStyle w:val="TOC1"/>
            <w:spacing w:beforeLines="0" w:afterLines="0"/>
            <w:rPr>
              <w:noProof/>
            </w:rPr>
          </w:pPr>
          <w:hyperlink w:anchor="_Toc140993828" w:history="1">
            <w:r w:rsidR="008E428B" w:rsidRPr="00384C99">
              <w:rPr>
                <w:noProof/>
              </w:rPr>
              <w:t>有色金属冶炼地块重金属污染土壤分级治理技术规范</w:t>
            </w:r>
            <w:r w:rsidR="008E428B" w:rsidRPr="00384C99">
              <w:rPr>
                <w:noProof/>
              </w:rPr>
              <w:tab/>
            </w:r>
            <w:r w:rsidR="008E428B" w:rsidRPr="00384C99">
              <w:rPr>
                <w:noProof/>
              </w:rPr>
              <w:fldChar w:fldCharType="begin"/>
            </w:r>
            <w:r w:rsidR="008E428B" w:rsidRPr="00384C99">
              <w:rPr>
                <w:noProof/>
              </w:rPr>
              <w:instrText xml:space="preserve"> PAGEREF _Toc140993828 \h </w:instrText>
            </w:r>
            <w:r w:rsidR="008E428B" w:rsidRPr="00384C99">
              <w:rPr>
                <w:noProof/>
              </w:rPr>
            </w:r>
            <w:r w:rsidR="008E428B" w:rsidRPr="00384C99">
              <w:rPr>
                <w:noProof/>
              </w:rPr>
              <w:fldChar w:fldCharType="separate"/>
            </w:r>
            <w:r w:rsidR="005977EC">
              <w:rPr>
                <w:noProof/>
              </w:rPr>
              <w:t>1</w:t>
            </w:r>
            <w:r w:rsidR="008E428B" w:rsidRPr="00384C99">
              <w:rPr>
                <w:noProof/>
              </w:rPr>
              <w:fldChar w:fldCharType="end"/>
            </w:r>
          </w:hyperlink>
        </w:p>
        <w:p w14:paraId="23600B90" w14:textId="610F5651" w:rsidR="00BA1C4E" w:rsidRPr="00384C99" w:rsidRDefault="00EB2942" w:rsidP="009F3E47">
          <w:pPr>
            <w:pStyle w:val="TOC1"/>
            <w:spacing w:beforeLines="0" w:afterLines="0"/>
            <w:rPr>
              <w:noProof/>
            </w:rPr>
          </w:pPr>
          <w:hyperlink w:anchor="_Toc140993829" w:history="1">
            <w:r w:rsidR="008E428B" w:rsidRPr="00384C99">
              <w:rPr>
                <w:noProof/>
              </w:rPr>
              <w:t>1 范围</w:t>
            </w:r>
            <w:r w:rsidR="008E428B" w:rsidRPr="00384C99">
              <w:rPr>
                <w:noProof/>
              </w:rPr>
              <w:tab/>
            </w:r>
            <w:r w:rsidR="008E428B" w:rsidRPr="00384C99">
              <w:rPr>
                <w:noProof/>
              </w:rPr>
              <w:fldChar w:fldCharType="begin"/>
            </w:r>
            <w:r w:rsidR="008E428B" w:rsidRPr="00384C99">
              <w:rPr>
                <w:noProof/>
              </w:rPr>
              <w:instrText xml:space="preserve"> PAGEREF _Toc140993829 \h </w:instrText>
            </w:r>
            <w:r w:rsidR="008E428B" w:rsidRPr="00384C99">
              <w:rPr>
                <w:noProof/>
              </w:rPr>
            </w:r>
            <w:r w:rsidR="008E428B" w:rsidRPr="00384C99">
              <w:rPr>
                <w:noProof/>
              </w:rPr>
              <w:fldChar w:fldCharType="separate"/>
            </w:r>
            <w:r w:rsidR="005977EC">
              <w:rPr>
                <w:noProof/>
              </w:rPr>
              <w:t>1</w:t>
            </w:r>
            <w:r w:rsidR="008E428B" w:rsidRPr="00384C99">
              <w:rPr>
                <w:noProof/>
              </w:rPr>
              <w:fldChar w:fldCharType="end"/>
            </w:r>
          </w:hyperlink>
        </w:p>
        <w:p w14:paraId="36A85D6B" w14:textId="5BFC1D75" w:rsidR="00BA1C4E" w:rsidRPr="00384C99" w:rsidRDefault="00EB2942" w:rsidP="009F3E47">
          <w:pPr>
            <w:pStyle w:val="TOC1"/>
            <w:spacing w:beforeLines="0" w:afterLines="0"/>
            <w:rPr>
              <w:noProof/>
            </w:rPr>
          </w:pPr>
          <w:hyperlink w:anchor="_Toc140993830" w:history="1">
            <w:r w:rsidR="008E428B" w:rsidRPr="00384C99">
              <w:rPr>
                <w:noProof/>
              </w:rPr>
              <w:t>2 规范性引用文件</w:t>
            </w:r>
            <w:r w:rsidR="008E428B" w:rsidRPr="00384C99">
              <w:rPr>
                <w:noProof/>
              </w:rPr>
              <w:tab/>
            </w:r>
            <w:r w:rsidR="008E428B" w:rsidRPr="00384C99">
              <w:rPr>
                <w:noProof/>
              </w:rPr>
              <w:fldChar w:fldCharType="begin"/>
            </w:r>
            <w:r w:rsidR="008E428B" w:rsidRPr="00384C99">
              <w:rPr>
                <w:noProof/>
              </w:rPr>
              <w:instrText xml:space="preserve"> PAGEREF _Toc140993830 \h </w:instrText>
            </w:r>
            <w:r w:rsidR="008E428B" w:rsidRPr="00384C99">
              <w:rPr>
                <w:noProof/>
              </w:rPr>
            </w:r>
            <w:r w:rsidR="008E428B" w:rsidRPr="00384C99">
              <w:rPr>
                <w:noProof/>
              </w:rPr>
              <w:fldChar w:fldCharType="separate"/>
            </w:r>
            <w:r w:rsidR="005977EC">
              <w:rPr>
                <w:noProof/>
              </w:rPr>
              <w:t>1</w:t>
            </w:r>
            <w:r w:rsidR="008E428B" w:rsidRPr="00384C99">
              <w:rPr>
                <w:noProof/>
              </w:rPr>
              <w:fldChar w:fldCharType="end"/>
            </w:r>
          </w:hyperlink>
        </w:p>
        <w:p w14:paraId="74149DFF" w14:textId="779AC327" w:rsidR="00BA1C4E" w:rsidRPr="00384C99" w:rsidRDefault="00EB2942" w:rsidP="009F3E47">
          <w:pPr>
            <w:pStyle w:val="TOC1"/>
            <w:spacing w:beforeLines="0" w:afterLines="0"/>
            <w:rPr>
              <w:noProof/>
            </w:rPr>
          </w:pPr>
          <w:hyperlink w:anchor="_Toc140993831" w:history="1">
            <w:r w:rsidR="008E428B" w:rsidRPr="00384C99">
              <w:rPr>
                <w:noProof/>
              </w:rPr>
              <w:t>3 术语和定义</w:t>
            </w:r>
            <w:r w:rsidR="008E428B" w:rsidRPr="00384C99">
              <w:rPr>
                <w:noProof/>
              </w:rPr>
              <w:tab/>
            </w:r>
            <w:r w:rsidR="008E428B" w:rsidRPr="00384C99">
              <w:rPr>
                <w:noProof/>
              </w:rPr>
              <w:fldChar w:fldCharType="begin"/>
            </w:r>
            <w:r w:rsidR="008E428B" w:rsidRPr="00384C99">
              <w:rPr>
                <w:noProof/>
              </w:rPr>
              <w:instrText xml:space="preserve"> PAGEREF _Toc140993831 \h </w:instrText>
            </w:r>
            <w:r w:rsidR="008E428B" w:rsidRPr="00384C99">
              <w:rPr>
                <w:noProof/>
              </w:rPr>
            </w:r>
            <w:r w:rsidR="008E428B" w:rsidRPr="00384C99">
              <w:rPr>
                <w:noProof/>
              </w:rPr>
              <w:fldChar w:fldCharType="separate"/>
            </w:r>
            <w:r w:rsidR="005977EC">
              <w:rPr>
                <w:noProof/>
              </w:rPr>
              <w:t>1</w:t>
            </w:r>
            <w:r w:rsidR="008E428B" w:rsidRPr="00384C99">
              <w:rPr>
                <w:noProof/>
              </w:rPr>
              <w:fldChar w:fldCharType="end"/>
            </w:r>
          </w:hyperlink>
        </w:p>
        <w:p w14:paraId="55FE2E74" w14:textId="619DC25D" w:rsidR="00BA1C4E" w:rsidRPr="00384C99" w:rsidRDefault="00EB2942" w:rsidP="009F3E47">
          <w:pPr>
            <w:pStyle w:val="TOC1"/>
            <w:spacing w:beforeLines="0" w:afterLines="0"/>
            <w:rPr>
              <w:noProof/>
            </w:rPr>
          </w:pPr>
          <w:hyperlink w:anchor="_Toc140993860" w:history="1">
            <w:r w:rsidR="008E428B" w:rsidRPr="00384C99">
              <w:rPr>
                <w:noProof/>
              </w:rPr>
              <w:t>4 符号、代号和缩略语</w:t>
            </w:r>
            <w:r w:rsidR="008E428B" w:rsidRPr="00384C99">
              <w:rPr>
                <w:noProof/>
              </w:rPr>
              <w:tab/>
            </w:r>
            <w:r w:rsidR="008E428B" w:rsidRPr="00384C99">
              <w:rPr>
                <w:noProof/>
              </w:rPr>
              <w:fldChar w:fldCharType="begin"/>
            </w:r>
            <w:r w:rsidR="008E428B" w:rsidRPr="00384C99">
              <w:rPr>
                <w:noProof/>
              </w:rPr>
              <w:instrText xml:space="preserve"> PAGEREF _Toc140993860 \h </w:instrText>
            </w:r>
            <w:r w:rsidR="008E428B" w:rsidRPr="00384C99">
              <w:rPr>
                <w:noProof/>
              </w:rPr>
            </w:r>
            <w:r w:rsidR="008E428B" w:rsidRPr="00384C99">
              <w:rPr>
                <w:noProof/>
              </w:rPr>
              <w:fldChar w:fldCharType="separate"/>
            </w:r>
            <w:r w:rsidR="005977EC">
              <w:rPr>
                <w:noProof/>
              </w:rPr>
              <w:t>3</w:t>
            </w:r>
            <w:r w:rsidR="008E428B" w:rsidRPr="00384C99">
              <w:rPr>
                <w:noProof/>
              </w:rPr>
              <w:fldChar w:fldCharType="end"/>
            </w:r>
          </w:hyperlink>
        </w:p>
        <w:p w14:paraId="13490ADC" w14:textId="4CA71670" w:rsidR="00BA1C4E" w:rsidRPr="00384C99" w:rsidRDefault="00EB2942" w:rsidP="009F3E47">
          <w:pPr>
            <w:pStyle w:val="TOC1"/>
            <w:spacing w:beforeLines="0" w:afterLines="0"/>
            <w:rPr>
              <w:noProof/>
            </w:rPr>
          </w:pPr>
          <w:hyperlink w:anchor="_Toc140993861" w:history="1">
            <w:r w:rsidR="008E428B" w:rsidRPr="00384C99">
              <w:rPr>
                <w:noProof/>
              </w:rPr>
              <w:t>5 基本原则</w:t>
            </w:r>
            <w:r w:rsidR="008E428B" w:rsidRPr="00384C99">
              <w:rPr>
                <w:noProof/>
              </w:rPr>
              <w:tab/>
            </w:r>
            <w:r w:rsidR="008E428B" w:rsidRPr="00384C99">
              <w:rPr>
                <w:noProof/>
              </w:rPr>
              <w:fldChar w:fldCharType="begin"/>
            </w:r>
            <w:r w:rsidR="008E428B" w:rsidRPr="00384C99">
              <w:rPr>
                <w:noProof/>
              </w:rPr>
              <w:instrText xml:space="preserve"> PAGEREF _Toc140993861 \h </w:instrText>
            </w:r>
            <w:r w:rsidR="008E428B" w:rsidRPr="00384C99">
              <w:rPr>
                <w:noProof/>
              </w:rPr>
            </w:r>
            <w:r w:rsidR="008E428B" w:rsidRPr="00384C99">
              <w:rPr>
                <w:noProof/>
              </w:rPr>
              <w:fldChar w:fldCharType="separate"/>
            </w:r>
            <w:r w:rsidR="005977EC">
              <w:rPr>
                <w:noProof/>
              </w:rPr>
              <w:t>3</w:t>
            </w:r>
            <w:r w:rsidR="008E428B" w:rsidRPr="00384C99">
              <w:rPr>
                <w:noProof/>
              </w:rPr>
              <w:fldChar w:fldCharType="end"/>
            </w:r>
          </w:hyperlink>
        </w:p>
        <w:p w14:paraId="7A793CDE" w14:textId="53671C17" w:rsidR="00384C99" w:rsidRDefault="00384C99" w:rsidP="009F3E47">
          <w:pPr>
            <w:pStyle w:val="TOC1"/>
            <w:spacing w:beforeLines="0" w:afterLines="0"/>
            <w:ind w:firstLineChars="100" w:firstLine="210"/>
            <w:rPr>
              <w:noProof/>
            </w:rPr>
          </w:pPr>
          <w:r>
            <w:rPr>
              <w:noProof/>
            </w:rPr>
            <w:t>5.</w:t>
          </w:r>
          <w:r w:rsidR="00215839">
            <w:rPr>
              <w:noProof/>
            </w:rPr>
            <w:t xml:space="preserve">1 </w:t>
          </w:r>
          <w:r w:rsidR="009D798A">
            <w:rPr>
              <w:rFonts w:hint="eastAsia"/>
              <w:noProof/>
            </w:rPr>
            <w:t>科学性</w:t>
          </w:r>
          <w:r w:rsidRPr="00384C99">
            <w:rPr>
              <w:rFonts w:hint="eastAsia"/>
              <w:noProof/>
            </w:rPr>
            <w:tab/>
            <w:t>3</w:t>
          </w:r>
        </w:p>
        <w:p w14:paraId="23BC61D9" w14:textId="4D21687A" w:rsidR="009D798A" w:rsidRDefault="009D798A" w:rsidP="009F3E47">
          <w:pPr>
            <w:pStyle w:val="TOC1"/>
            <w:spacing w:beforeLines="0" w:afterLines="0"/>
            <w:ind w:firstLineChars="100" w:firstLine="210"/>
            <w:rPr>
              <w:noProof/>
            </w:rPr>
          </w:pPr>
          <w:r>
            <w:rPr>
              <w:noProof/>
            </w:rPr>
            <w:t>5.2</w:t>
          </w:r>
          <w:r w:rsidR="00215839">
            <w:rPr>
              <w:noProof/>
            </w:rPr>
            <w:t xml:space="preserve"> </w:t>
          </w:r>
          <w:r>
            <w:rPr>
              <w:rFonts w:hint="eastAsia"/>
              <w:noProof/>
            </w:rPr>
            <w:t>综合性</w:t>
          </w:r>
          <w:r w:rsidRPr="00384C99">
            <w:rPr>
              <w:rFonts w:hint="eastAsia"/>
              <w:noProof/>
            </w:rPr>
            <w:tab/>
            <w:t>3</w:t>
          </w:r>
        </w:p>
        <w:p w14:paraId="63C984B1" w14:textId="46E9EB1D" w:rsidR="009D798A" w:rsidRDefault="009D798A" w:rsidP="009F3E47">
          <w:pPr>
            <w:pStyle w:val="TOC1"/>
            <w:spacing w:beforeLines="0" w:afterLines="0"/>
            <w:ind w:firstLineChars="100" w:firstLine="210"/>
            <w:rPr>
              <w:noProof/>
            </w:rPr>
          </w:pPr>
          <w:r>
            <w:rPr>
              <w:noProof/>
            </w:rPr>
            <w:t>5.3</w:t>
          </w:r>
          <w:r w:rsidR="00524536">
            <w:rPr>
              <w:noProof/>
            </w:rPr>
            <w:t xml:space="preserve"> </w:t>
          </w:r>
          <w:r>
            <w:rPr>
              <w:rFonts w:hint="eastAsia"/>
              <w:noProof/>
            </w:rPr>
            <w:t>公正性</w:t>
          </w:r>
          <w:r w:rsidRPr="00384C99">
            <w:rPr>
              <w:rFonts w:hint="eastAsia"/>
              <w:noProof/>
            </w:rPr>
            <w:tab/>
          </w:r>
          <w:r w:rsidR="00524536">
            <w:rPr>
              <w:noProof/>
            </w:rPr>
            <w:t>4</w:t>
          </w:r>
        </w:p>
        <w:p w14:paraId="527A3CAB" w14:textId="6C4FDD6A" w:rsidR="00384C99" w:rsidRPr="009D798A" w:rsidRDefault="009D798A" w:rsidP="009F3E47">
          <w:pPr>
            <w:pStyle w:val="TOC1"/>
            <w:spacing w:beforeLines="0" w:afterLines="0"/>
            <w:ind w:firstLineChars="100" w:firstLine="210"/>
            <w:rPr>
              <w:noProof/>
            </w:rPr>
          </w:pPr>
          <w:r>
            <w:rPr>
              <w:noProof/>
            </w:rPr>
            <w:t>5.</w:t>
          </w:r>
          <w:r w:rsidR="00524536">
            <w:rPr>
              <w:noProof/>
            </w:rPr>
            <w:t xml:space="preserve">4 </w:t>
          </w:r>
          <w:r>
            <w:rPr>
              <w:rFonts w:hint="eastAsia"/>
              <w:noProof/>
            </w:rPr>
            <w:t>实用性</w:t>
          </w:r>
          <w:r w:rsidRPr="00384C99">
            <w:rPr>
              <w:rFonts w:hint="eastAsia"/>
              <w:noProof/>
            </w:rPr>
            <w:tab/>
          </w:r>
          <w:r w:rsidR="00524536">
            <w:rPr>
              <w:noProof/>
            </w:rPr>
            <w:t>4</w:t>
          </w:r>
        </w:p>
        <w:p w14:paraId="743250EB" w14:textId="5033E325" w:rsidR="00BA1C4E" w:rsidRDefault="00EB2942" w:rsidP="009F3E47">
          <w:pPr>
            <w:pStyle w:val="TOC1"/>
            <w:spacing w:beforeLines="0" w:afterLines="0"/>
            <w:rPr>
              <w:noProof/>
            </w:rPr>
          </w:pPr>
          <w:hyperlink w:anchor="_Toc140993866" w:history="1">
            <w:r w:rsidR="008E428B" w:rsidRPr="00384C99">
              <w:rPr>
                <w:noProof/>
              </w:rPr>
              <w:t>6 分级评价体系</w:t>
            </w:r>
            <w:r w:rsidR="008E428B" w:rsidRPr="00384C99">
              <w:rPr>
                <w:noProof/>
              </w:rPr>
              <w:tab/>
            </w:r>
            <w:r w:rsidR="008E428B" w:rsidRPr="00384C99">
              <w:rPr>
                <w:noProof/>
              </w:rPr>
              <w:fldChar w:fldCharType="begin"/>
            </w:r>
            <w:r w:rsidR="008E428B" w:rsidRPr="00384C99">
              <w:rPr>
                <w:noProof/>
              </w:rPr>
              <w:instrText xml:space="preserve"> PAGEREF _Toc140993866 \h </w:instrText>
            </w:r>
            <w:r w:rsidR="008E428B" w:rsidRPr="00384C99">
              <w:rPr>
                <w:noProof/>
              </w:rPr>
            </w:r>
            <w:r w:rsidR="008E428B" w:rsidRPr="00384C99">
              <w:rPr>
                <w:noProof/>
              </w:rPr>
              <w:fldChar w:fldCharType="separate"/>
            </w:r>
            <w:r w:rsidR="005977EC">
              <w:rPr>
                <w:noProof/>
              </w:rPr>
              <w:t>4</w:t>
            </w:r>
            <w:r w:rsidR="008E428B" w:rsidRPr="00384C99">
              <w:rPr>
                <w:noProof/>
              </w:rPr>
              <w:fldChar w:fldCharType="end"/>
            </w:r>
          </w:hyperlink>
        </w:p>
        <w:p w14:paraId="5348E11B" w14:textId="7B0E3C91" w:rsidR="009D798A" w:rsidRDefault="00E43925" w:rsidP="009F3E47">
          <w:pPr>
            <w:pStyle w:val="TOC1"/>
            <w:spacing w:beforeLines="0" w:afterLines="0"/>
            <w:ind w:firstLineChars="100" w:firstLine="210"/>
            <w:rPr>
              <w:noProof/>
            </w:rPr>
          </w:pPr>
          <w:r>
            <w:rPr>
              <w:noProof/>
            </w:rPr>
            <w:t>6</w:t>
          </w:r>
          <w:r w:rsidR="009D798A">
            <w:rPr>
              <w:noProof/>
            </w:rPr>
            <w:t>.</w:t>
          </w:r>
          <w:r w:rsidR="00185B5C">
            <w:rPr>
              <w:noProof/>
            </w:rPr>
            <w:t xml:space="preserve">1 </w:t>
          </w:r>
          <w:r>
            <w:rPr>
              <w:rFonts w:hint="eastAsia"/>
              <w:noProof/>
            </w:rPr>
            <w:t>评价指标</w:t>
          </w:r>
          <w:r w:rsidR="009D798A" w:rsidRPr="00384C99">
            <w:rPr>
              <w:rFonts w:hint="eastAsia"/>
              <w:noProof/>
            </w:rPr>
            <w:tab/>
          </w:r>
          <w:r>
            <w:rPr>
              <w:noProof/>
            </w:rPr>
            <w:t>4</w:t>
          </w:r>
        </w:p>
        <w:p w14:paraId="44136820" w14:textId="3F4F5DF8" w:rsidR="009D798A" w:rsidRPr="009D798A" w:rsidRDefault="00E43925" w:rsidP="009F3E47">
          <w:pPr>
            <w:pStyle w:val="TOC1"/>
            <w:spacing w:beforeLines="0" w:afterLines="0"/>
            <w:ind w:firstLineChars="100" w:firstLine="210"/>
            <w:rPr>
              <w:noProof/>
            </w:rPr>
          </w:pPr>
          <w:r>
            <w:rPr>
              <w:noProof/>
            </w:rPr>
            <w:t>6</w:t>
          </w:r>
          <w:r w:rsidR="009D798A">
            <w:rPr>
              <w:noProof/>
            </w:rPr>
            <w:t>.</w:t>
          </w:r>
          <w:r>
            <w:rPr>
              <w:noProof/>
            </w:rPr>
            <w:t xml:space="preserve">2 </w:t>
          </w:r>
          <w:r>
            <w:rPr>
              <w:rFonts w:hint="eastAsia"/>
              <w:noProof/>
            </w:rPr>
            <w:t>等级划分</w:t>
          </w:r>
          <w:r w:rsidR="009D798A" w:rsidRPr="00384C99">
            <w:rPr>
              <w:rFonts w:hint="eastAsia"/>
              <w:noProof/>
            </w:rPr>
            <w:tab/>
          </w:r>
          <w:r>
            <w:rPr>
              <w:noProof/>
            </w:rPr>
            <w:t>4</w:t>
          </w:r>
        </w:p>
        <w:p w14:paraId="49572DA6" w14:textId="5052053E" w:rsidR="00BA1C4E" w:rsidRDefault="00EB2942" w:rsidP="009F3E47">
          <w:pPr>
            <w:pStyle w:val="TOC1"/>
            <w:spacing w:beforeLines="0" w:afterLines="0"/>
            <w:rPr>
              <w:noProof/>
            </w:rPr>
          </w:pPr>
          <w:hyperlink w:anchor="_Toc140993874" w:history="1">
            <w:r w:rsidR="008E428B" w:rsidRPr="00384C99">
              <w:rPr>
                <w:noProof/>
              </w:rPr>
              <w:t>7 分级治理技术体系</w:t>
            </w:r>
            <w:r w:rsidR="008E428B" w:rsidRPr="00384C99">
              <w:rPr>
                <w:noProof/>
              </w:rPr>
              <w:tab/>
            </w:r>
            <w:r w:rsidR="008E428B" w:rsidRPr="00384C99">
              <w:rPr>
                <w:noProof/>
              </w:rPr>
              <w:fldChar w:fldCharType="begin"/>
            </w:r>
            <w:r w:rsidR="008E428B" w:rsidRPr="00384C99">
              <w:rPr>
                <w:noProof/>
              </w:rPr>
              <w:instrText xml:space="preserve"> PAGEREF _Toc140993874 \h </w:instrText>
            </w:r>
            <w:r w:rsidR="008E428B" w:rsidRPr="00384C99">
              <w:rPr>
                <w:noProof/>
              </w:rPr>
            </w:r>
            <w:r w:rsidR="008E428B" w:rsidRPr="00384C99">
              <w:rPr>
                <w:noProof/>
              </w:rPr>
              <w:fldChar w:fldCharType="separate"/>
            </w:r>
            <w:r w:rsidR="005977EC">
              <w:rPr>
                <w:noProof/>
              </w:rPr>
              <w:t>5</w:t>
            </w:r>
            <w:r w:rsidR="008E428B" w:rsidRPr="00384C99">
              <w:rPr>
                <w:noProof/>
              </w:rPr>
              <w:fldChar w:fldCharType="end"/>
            </w:r>
          </w:hyperlink>
        </w:p>
        <w:p w14:paraId="16BB98E8" w14:textId="76EE561E" w:rsidR="009D798A" w:rsidRDefault="00215839" w:rsidP="009F3E47">
          <w:pPr>
            <w:pStyle w:val="TOC1"/>
            <w:spacing w:beforeLines="0" w:afterLines="0"/>
            <w:ind w:firstLineChars="100" w:firstLine="210"/>
            <w:rPr>
              <w:noProof/>
            </w:rPr>
          </w:pPr>
          <w:r w:rsidRPr="00215839">
            <w:rPr>
              <w:rFonts w:hint="eastAsia"/>
              <w:noProof/>
            </w:rPr>
            <w:t>7.</w:t>
          </w:r>
          <w:r>
            <w:rPr>
              <w:noProof/>
            </w:rPr>
            <w:t>1</w:t>
          </w:r>
          <w:r w:rsidR="00E43925">
            <w:rPr>
              <w:noProof/>
            </w:rPr>
            <w:t xml:space="preserve"> </w:t>
          </w:r>
          <w:r>
            <w:rPr>
              <w:rFonts w:hint="eastAsia"/>
              <w:noProof/>
            </w:rPr>
            <w:t>可行性治理技术</w:t>
          </w:r>
          <w:r w:rsidR="009D798A" w:rsidRPr="00384C99">
            <w:rPr>
              <w:rFonts w:hint="eastAsia"/>
              <w:noProof/>
            </w:rPr>
            <w:tab/>
          </w:r>
          <w:r>
            <w:rPr>
              <w:noProof/>
            </w:rPr>
            <w:t>5</w:t>
          </w:r>
        </w:p>
        <w:p w14:paraId="66C94F8D" w14:textId="5285BABD" w:rsidR="009D798A" w:rsidRPr="009D798A" w:rsidRDefault="00215839" w:rsidP="009F3E47">
          <w:pPr>
            <w:pStyle w:val="TOC1"/>
            <w:spacing w:beforeLines="0" w:afterLines="0"/>
            <w:ind w:firstLineChars="100" w:firstLine="210"/>
            <w:rPr>
              <w:noProof/>
            </w:rPr>
          </w:pPr>
          <w:r>
            <w:rPr>
              <w:rFonts w:hint="eastAsia"/>
              <w:noProof/>
            </w:rPr>
            <w:t>7.</w:t>
          </w:r>
          <w:r>
            <w:rPr>
              <w:noProof/>
            </w:rPr>
            <w:t xml:space="preserve">2 </w:t>
          </w:r>
          <w:r w:rsidRPr="00215839">
            <w:rPr>
              <w:rFonts w:hint="eastAsia"/>
              <w:noProof/>
            </w:rPr>
            <w:t>分级治理技术推荐</w:t>
          </w:r>
          <w:r w:rsidR="009D798A" w:rsidRPr="00384C99">
            <w:rPr>
              <w:rFonts w:hint="eastAsia"/>
              <w:noProof/>
            </w:rPr>
            <w:tab/>
          </w:r>
          <w:r>
            <w:rPr>
              <w:noProof/>
            </w:rPr>
            <w:t>10</w:t>
          </w:r>
        </w:p>
        <w:p w14:paraId="307F10E6" w14:textId="13AECCCE" w:rsidR="00BA1C4E" w:rsidRPr="00384C99" w:rsidRDefault="00EB2942" w:rsidP="009F3E47">
          <w:pPr>
            <w:pStyle w:val="TOC1"/>
            <w:spacing w:beforeLines="0" w:afterLines="0"/>
            <w:rPr>
              <w:noProof/>
            </w:rPr>
          </w:pPr>
          <w:hyperlink w:anchor="_Toc140993883" w:history="1">
            <w:r w:rsidR="008E428B" w:rsidRPr="00384C99">
              <w:rPr>
                <w:noProof/>
              </w:rPr>
              <w:t>8 评价应用要求</w:t>
            </w:r>
            <w:r w:rsidR="008E428B" w:rsidRPr="00384C99">
              <w:rPr>
                <w:noProof/>
              </w:rPr>
              <w:tab/>
            </w:r>
            <w:r w:rsidR="008E428B" w:rsidRPr="00384C99">
              <w:rPr>
                <w:noProof/>
              </w:rPr>
              <w:fldChar w:fldCharType="begin"/>
            </w:r>
            <w:r w:rsidR="008E428B" w:rsidRPr="00384C99">
              <w:rPr>
                <w:noProof/>
              </w:rPr>
              <w:instrText xml:space="preserve"> PAGEREF _Toc140993883 \h </w:instrText>
            </w:r>
            <w:r w:rsidR="008E428B" w:rsidRPr="00384C99">
              <w:rPr>
                <w:noProof/>
              </w:rPr>
            </w:r>
            <w:r w:rsidR="008E428B" w:rsidRPr="00384C99">
              <w:rPr>
                <w:noProof/>
              </w:rPr>
              <w:fldChar w:fldCharType="separate"/>
            </w:r>
            <w:r w:rsidR="005977EC">
              <w:rPr>
                <w:noProof/>
              </w:rPr>
              <w:t>11</w:t>
            </w:r>
            <w:r w:rsidR="008E428B" w:rsidRPr="00384C99">
              <w:rPr>
                <w:noProof/>
              </w:rPr>
              <w:fldChar w:fldCharType="end"/>
            </w:r>
          </w:hyperlink>
        </w:p>
        <w:p w14:paraId="15B807FF" w14:textId="29D15DF0" w:rsidR="00BA1C4E" w:rsidRPr="00384C99" w:rsidRDefault="00EB2942" w:rsidP="009F3E47">
          <w:pPr>
            <w:pStyle w:val="TOC1"/>
            <w:spacing w:beforeLines="0" w:afterLines="0"/>
            <w:rPr>
              <w:noProof/>
            </w:rPr>
          </w:pPr>
          <w:hyperlink w:anchor="_Toc140993884" w:history="1">
            <w:r w:rsidR="00A61B57" w:rsidRPr="00384C99">
              <w:rPr>
                <w:noProof/>
              </w:rPr>
              <w:t>附录</w:t>
            </w:r>
            <w:r w:rsidR="008E428B" w:rsidRPr="00384C99">
              <w:rPr>
                <w:noProof/>
              </w:rPr>
              <w:t>A（资料</w:t>
            </w:r>
            <w:r w:rsidR="00A61B57" w:rsidRPr="00384C99">
              <w:rPr>
                <w:rFonts w:hint="eastAsia"/>
                <w:noProof/>
              </w:rPr>
              <w:t>性</w:t>
            </w:r>
            <w:r w:rsidR="008E428B" w:rsidRPr="00384C99">
              <w:rPr>
                <w:noProof/>
              </w:rPr>
              <w:t>） GB 36600筛选值</w:t>
            </w:r>
            <w:r w:rsidR="008E428B" w:rsidRPr="00384C99">
              <w:rPr>
                <w:noProof/>
              </w:rPr>
              <w:tab/>
            </w:r>
            <w:r w:rsidR="008E428B" w:rsidRPr="00384C99">
              <w:rPr>
                <w:noProof/>
              </w:rPr>
              <w:fldChar w:fldCharType="begin"/>
            </w:r>
            <w:r w:rsidR="008E428B" w:rsidRPr="00384C99">
              <w:rPr>
                <w:noProof/>
              </w:rPr>
              <w:instrText xml:space="preserve"> PAGEREF _Toc140993884 \h </w:instrText>
            </w:r>
            <w:r w:rsidR="008E428B" w:rsidRPr="00384C99">
              <w:rPr>
                <w:noProof/>
              </w:rPr>
            </w:r>
            <w:r w:rsidR="008E428B" w:rsidRPr="00384C99">
              <w:rPr>
                <w:noProof/>
              </w:rPr>
              <w:fldChar w:fldCharType="separate"/>
            </w:r>
            <w:r w:rsidR="005977EC">
              <w:rPr>
                <w:noProof/>
              </w:rPr>
              <w:t>12</w:t>
            </w:r>
            <w:r w:rsidR="008E428B" w:rsidRPr="00384C99">
              <w:rPr>
                <w:noProof/>
              </w:rPr>
              <w:fldChar w:fldCharType="end"/>
            </w:r>
          </w:hyperlink>
        </w:p>
        <w:p w14:paraId="50177D34" w14:textId="037C1FFF" w:rsidR="00BA1C4E" w:rsidRPr="00384C99" w:rsidRDefault="00EB2942" w:rsidP="009F3E47">
          <w:pPr>
            <w:pStyle w:val="TOC1"/>
            <w:spacing w:beforeLines="0" w:afterLines="0"/>
            <w:rPr>
              <w:noProof/>
            </w:rPr>
          </w:pPr>
          <w:hyperlink w:anchor="_Toc140993885" w:history="1">
            <w:r w:rsidR="00A61B57" w:rsidRPr="00384C99">
              <w:rPr>
                <w:noProof/>
              </w:rPr>
              <w:t>附录</w:t>
            </w:r>
            <w:r w:rsidR="008E428B" w:rsidRPr="00384C99">
              <w:rPr>
                <w:noProof/>
              </w:rPr>
              <w:t>B（资料性） 人体可给性测试方法(SBET)</w:t>
            </w:r>
            <w:r w:rsidR="008E428B" w:rsidRPr="00384C99">
              <w:rPr>
                <w:noProof/>
              </w:rPr>
              <w:tab/>
            </w:r>
            <w:r w:rsidR="008E428B" w:rsidRPr="00384C99">
              <w:rPr>
                <w:noProof/>
              </w:rPr>
              <w:fldChar w:fldCharType="begin"/>
            </w:r>
            <w:r w:rsidR="008E428B" w:rsidRPr="00384C99">
              <w:rPr>
                <w:noProof/>
              </w:rPr>
              <w:instrText xml:space="preserve"> PAGEREF _Toc140993885 \h </w:instrText>
            </w:r>
            <w:r w:rsidR="008E428B" w:rsidRPr="00384C99">
              <w:rPr>
                <w:noProof/>
              </w:rPr>
            </w:r>
            <w:r w:rsidR="008E428B" w:rsidRPr="00384C99">
              <w:rPr>
                <w:noProof/>
              </w:rPr>
              <w:fldChar w:fldCharType="separate"/>
            </w:r>
            <w:r w:rsidR="005977EC">
              <w:rPr>
                <w:noProof/>
              </w:rPr>
              <w:t>13</w:t>
            </w:r>
            <w:r w:rsidR="008E428B" w:rsidRPr="00384C99">
              <w:rPr>
                <w:noProof/>
              </w:rPr>
              <w:fldChar w:fldCharType="end"/>
            </w:r>
          </w:hyperlink>
        </w:p>
        <w:p w14:paraId="302B1D3E" w14:textId="77777777" w:rsidR="00BA1C4E" w:rsidRDefault="008E428B" w:rsidP="009F3E47">
          <w:pPr>
            <w:pStyle w:val="TOC1"/>
            <w:spacing w:beforeLines="0" w:afterLines="0"/>
            <w:rPr>
              <w:noProof/>
            </w:rPr>
          </w:pPr>
          <w:r w:rsidRPr="00384C99">
            <w:rPr>
              <w:noProof/>
            </w:rPr>
            <w:fldChar w:fldCharType="end"/>
          </w:r>
        </w:p>
      </w:sdtContent>
    </w:sdt>
    <w:p w14:paraId="010D95D7" w14:textId="77777777" w:rsidR="00BA1C4E" w:rsidRDefault="008E428B">
      <w:pPr>
        <w:pStyle w:val="aff4"/>
        <w:rPr>
          <w:color w:val="000000"/>
        </w:rPr>
      </w:pPr>
      <w:r>
        <w:rPr>
          <w:color w:val="000000"/>
        </w:rPr>
        <w:br w:type="page"/>
      </w:r>
    </w:p>
    <w:p w14:paraId="013A0312" w14:textId="77777777" w:rsidR="00BA1C4E" w:rsidRDefault="008E428B">
      <w:pPr>
        <w:pStyle w:val="afffffff1"/>
        <w:rPr>
          <w:color w:val="000000"/>
        </w:rPr>
      </w:pPr>
      <w:bookmarkStart w:id="5" w:name="_Toc140993827"/>
      <w:bookmarkStart w:id="6" w:name="_Toc7943"/>
      <w:r>
        <w:rPr>
          <w:rFonts w:hint="eastAsia"/>
          <w:color w:val="000000"/>
        </w:rPr>
        <w:lastRenderedPageBreak/>
        <w:t>前</w:t>
      </w:r>
      <w:bookmarkStart w:id="7" w:name="BKQY"/>
      <w:r>
        <w:rPr>
          <w:rFonts w:hint="eastAsia"/>
          <w:color w:val="000000"/>
        </w:rPr>
        <w:t>  言</w:t>
      </w:r>
      <w:bookmarkEnd w:id="5"/>
      <w:bookmarkEnd w:id="6"/>
      <w:bookmarkEnd w:id="7"/>
    </w:p>
    <w:p w14:paraId="2994723A" w14:textId="500CB0B2" w:rsidR="00BA1C4E" w:rsidRDefault="008E428B">
      <w:pPr>
        <w:pStyle w:val="aff4"/>
        <w:rPr>
          <w:rFonts w:ascii="Times New Roman"/>
          <w:color w:val="000000"/>
        </w:rPr>
      </w:pPr>
      <w:r>
        <w:rPr>
          <w:rFonts w:ascii="Times New Roman"/>
          <w:color w:val="000000"/>
        </w:rPr>
        <w:t>本</w:t>
      </w:r>
      <w:r w:rsidR="00F3631A">
        <w:rPr>
          <w:rFonts w:ascii="Times New Roman" w:hint="eastAsia"/>
          <w:color w:val="000000"/>
        </w:rPr>
        <w:t>文件</w:t>
      </w:r>
      <w:r>
        <w:rPr>
          <w:rFonts w:ascii="Times New Roman" w:hint="eastAsia"/>
          <w:color w:val="000000"/>
        </w:rPr>
        <w:t>根据</w:t>
      </w:r>
      <w:r>
        <w:rPr>
          <w:rFonts w:ascii="Times New Roman"/>
          <w:color w:val="000000"/>
        </w:rPr>
        <w:t>GB/T 1.1—2020</w:t>
      </w:r>
      <w:r>
        <w:rPr>
          <w:rFonts w:ascii="Times New Roman" w:hint="eastAsia"/>
          <w:color w:val="000000"/>
        </w:rPr>
        <w:t>《标准化工作导则第</w:t>
      </w:r>
      <w:r>
        <w:rPr>
          <w:rFonts w:ascii="Times New Roman" w:hint="eastAsia"/>
          <w:color w:val="000000"/>
        </w:rPr>
        <w:t>1</w:t>
      </w:r>
      <w:r>
        <w:rPr>
          <w:rFonts w:ascii="Times New Roman" w:hint="eastAsia"/>
          <w:color w:val="000000"/>
        </w:rPr>
        <w:t>部分：标准的结构和编写》起草。</w:t>
      </w:r>
    </w:p>
    <w:p w14:paraId="3EEEF23F" w14:textId="2B71607E" w:rsidR="00BA1C4E" w:rsidRDefault="008E428B">
      <w:pPr>
        <w:pStyle w:val="aff4"/>
        <w:rPr>
          <w:rFonts w:ascii="Times New Roman"/>
          <w:color w:val="000000"/>
        </w:rPr>
      </w:pPr>
      <w:r>
        <w:rPr>
          <w:rFonts w:ascii="Times New Roman" w:hint="eastAsia"/>
          <w:color w:val="000000"/>
        </w:rPr>
        <w:t>本</w:t>
      </w:r>
      <w:r w:rsidR="00F3631A">
        <w:rPr>
          <w:rFonts w:ascii="Times New Roman" w:hint="eastAsia"/>
          <w:color w:val="000000"/>
        </w:rPr>
        <w:t>文件</w:t>
      </w:r>
      <w:r>
        <w:rPr>
          <w:rFonts w:ascii="Times New Roman" w:hint="eastAsia"/>
          <w:color w:val="000000"/>
        </w:rPr>
        <w:t>由湖南省环境治理行业协会提出并归口。</w:t>
      </w:r>
    </w:p>
    <w:p w14:paraId="6FD03DE7" w14:textId="77777777" w:rsidR="00BA1C4E" w:rsidRDefault="008E428B">
      <w:pPr>
        <w:pStyle w:val="aff4"/>
        <w:rPr>
          <w:rFonts w:ascii="Times New Roman"/>
          <w:color w:val="000000"/>
        </w:rPr>
      </w:pPr>
      <w:r>
        <w:rPr>
          <w:rFonts w:ascii="Times New Roman"/>
          <w:color w:val="000000"/>
        </w:rPr>
        <w:t>本文件的某些内容可能涉及专利。本文件的发布机构不承担识别这些专利的责任。</w:t>
      </w:r>
    </w:p>
    <w:p w14:paraId="22E3B55D" w14:textId="770E18F4" w:rsidR="00BA1C4E" w:rsidRDefault="008E428B">
      <w:pPr>
        <w:pStyle w:val="aff4"/>
        <w:rPr>
          <w:rFonts w:ascii="Times New Roman"/>
          <w:color w:val="000000"/>
        </w:rPr>
      </w:pPr>
      <w:r>
        <w:rPr>
          <w:rFonts w:ascii="Times New Roman"/>
          <w:color w:val="000000"/>
        </w:rPr>
        <w:t>本</w:t>
      </w:r>
      <w:r w:rsidR="00F3631A">
        <w:rPr>
          <w:rFonts w:ascii="Times New Roman" w:hint="eastAsia"/>
          <w:color w:val="000000"/>
        </w:rPr>
        <w:t>文件</w:t>
      </w:r>
      <w:r>
        <w:rPr>
          <w:rFonts w:ascii="Times New Roman"/>
          <w:color w:val="000000"/>
        </w:rPr>
        <w:t>起草单位：</w:t>
      </w:r>
      <w:r>
        <w:rPr>
          <w:rFonts w:ascii="Times New Roman" w:hint="eastAsia"/>
          <w:color w:val="000000"/>
        </w:rPr>
        <w:t>中国科学院南京土壤研究所、河南大学、中南大学、河南省地质研究院、河南省生态环境技术中心、中冶南方都市环保工程技术股份有限公司。</w:t>
      </w:r>
    </w:p>
    <w:p w14:paraId="14B180BD" w14:textId="08902CE8" w:rsidR="00BA1C4E" w:rsidRDefault="008E428B">
      <w:pPr>
        <w:pStyle w:val="aff4"/>
        <w:rPr>
          <w:rFonts w:ascii="Times New Roman"/>
          <w:color w:val="000000"/>
        </w:rPr>
      </w:pPr>
      <w:r>
        <w:rPr>
          <w:rFonts w:ascii="Times New Roman"/>
          <w:color w:val="000000"/>
        </w:rPr>
        <w:t>本</w:t>
      </w:r>
      <w:r w:rsidR="00F3631A">
        <w:rPr>
          <w:rFonts w:ascii="Times New Roman" w:hint="eastAsia"/>
          <w:color w:val="000000"/>
        </w:rPr>
        <w:t>文件</w:t>
      </w:r>
      <w:r>
        <w:rPr>
          <w:rFonts w:ascii="Times New Roman"/>
          <w:color w:val="000000"/>
        </w:rPr>
        <w:t>主要起草人：</w:t>
      </w:r>
      <w:r>
        <w:rPr>
          <w:rFonts w:ascii="Times New Roman" w:hint="eastAsia"/>
          <w:color w:val="000000"/>
        </w:rPr>
        <w:t>郝秀珍、李小红、薛生国、朱锋、张古彬、施烈焰、郭林、赵颖、何新生、刘沙沙。</w:t>
      </w:r>
    </w:p>
    <w:p w14:paraId="78A47EDD" w14:textId="5D8CCB75" w:rsidR="00BA1C4E" w:rsidRDefault="008E428B">
      <w:pPr>
        <w:pStyle w:val="aff4"/>
        <w:rPr>
          <w:rFonts w:ascii="Times New Roman"/>
          <w:color w:val="000000"/>
        </w:rPr>
      </w:pPr>
      <w:r>
        <w:rPr>
          <w:rFonts w:ascii="Times New Roman" w:hint="eastAsia"/>
          <w:color w:val="000000"/>
        </w:rPr>
        <w:t>本</w:t>
      </w:r>
      <w:r w:rsidR="00F3631A">
        <w:rPr>
          <w:rFonts w:ascii="Times New Roman" w:hint="eastAsia"/>
          <w:color w:val="000000"/>
        </w:rPr>
        <w:t>文件</w:t>
      </w:r>
      <w:r>
        <w:rPr>
          <w:rFonts w:ascii="Times New Roman" w:hint="eastAsia"/>
          <w:color w:val="000000"/>
        </w:rPr>
        <w:t>由湖南省环境治理行业协会负责管理和解释，中国科学院南京土壤研究所负责具体技术内容的解释。在应用过程中如有需要修改与补充的建议，请将相关资料寄送湖南省环境治理行业协会标准管理部门</w:t>
      </w:r>
      <w:r>
        <w:rPr>
          <w:rFonts w:ascii="Times New Roman"/>
          <w:color w:val="000000"/>
        </w:rPr>
        <w:t>。</w:t>
      </w:r>
    </w:p>
    <w:p w14:paraId="59A3EAEE" w14:textId="77777777" w:rsidR="00BA1C4E" w:rsidRDefault="00BA1C4E">
      <w:pPr>
        <w:pStyle w:val="aff4"/>
        <w:rPr>
          <w:color w:val="000000"/>
        </w:rPr>
      </w:pPr>
    </w:p>
    <w:p w14:paraId="0078960A" w14:textId="77777777" w:rsidR="00BA1C4E" w:rsidRDefault="008E428B">
      <w:pPr>
        <w:pStyle w:val="aff4"/>
        <w:rPr>
          <w:color w:val="000000"/>
        </w:rPr>
      </w:pPr>
      <w:r>
        <w:rPr>
          <w:color w:val="000000"/>
        </w:rPr>
        <w:br w:type="page"/>
      </w:r>
    </w:p>
    <w:p w14:paraId="51D3D75C" w14:textId="77777777" w:rsidR="00BA1C4E" w:rsidRDefault="00BA1C4E">
      <w:pPr>
        <w:pStyle w:val="aff4"/>
        <w:rPr>
          <w:color w:val="000000"/>
        </w:rPr>
        <w:sectPr w:rsidR="00BA1C4E">
          <w:headerReference w:type="even" r:id="rId9"/>
          <w:headerReference w:type="default" r:id="rId10"/>
          <w:footerReference w:type="even" r:id="rId11"/>
          <w:footerReference w:type="default" r:id="rId12"/>
          <w:pgSz w:w="11906" w:h="16838"/>
          <w:pgMar w:top="567" w:right="1134" w:bottom="1134" w:left="1417" w:header="1418" w:footer="1134" w:gutter="0"/>
          <w:pgNumType w:fmt="upperRoman" w:start="1"/>
          <w:cols w:space="720"/>
          <w:formProt w:val="0"/>
          <w:docGrid w:type="lines" w:linePitch="312"/>
        </w:sectPr>
      </w:pPr>
    </w:p>
    <w:p w14:paraId="46F9BB7D" w14:textId="77777777" w:rsidR="00BA1C4E" w:rsidRDefault="008E428B">
      <w:pPr>
        <w:pStyle w:val="affffa"/>
        <w:rPr>
          <w:color w:val="000000"/>
        </w:rPr>
      </w:pPr>
      <w:bookmarkStart w:id="8" w:name="_Toc140993828"/>
      <w:bookmarkEnd w:id="0"/>
      <w:bookmarkEnd w:id="1"/>
      <w:r>
        <w:rPr>
          <w:rFonts w:hint="eastAsia"/>
          <w:color w:val="000000"/>
        </w:rPr>
        <w:lastRenderedPageBreak/>
        <w:t>有色金属冶炼地块重金属污染土壤分级治理技术规范</w:t>
      </w:r>
      <w:bookmarkEnd w:id="8"/>
    </w:p>
    <w:p w14:paraId="759A86CB" w14:textId="77777777" w:rsidR="00BA1C4E" w:rsidRDefault="008E428B" w:rsidP="00BE385C">
      <w:pPr>
        <w:pStyle w:val="a0"/>
        <w:spacing w:before="312" w:after="312"/>
        <w:rPr>
          <w:color w:val="000000"/>
        </w:rPr>
      </w:pPr>
      <w:bookmarkStart w:id="9" w:name="_Toc298937152"/>
      <w:bookmarkStart w:id="10" w:name="_Toc298938635"/>
      <w:bookmarkStart w:id="11" w:name="_Toc298937357"/>
      <w:bookmarkStart w:id="12" w:name="_Toc298936801"/>
      <w:bookmarkStart w:id="13" w:name="_Toc298937276"/>
      <w:bookmarkStart w:id="14" w:name="_Toc298938783"/>
      <w:bookmarkStart w:id="15" w:name="_Toc298936924"/>
      <w:bookmarkStart w:id="16" w:name="_Toc298937419"/>
      <w:bookmarkStart w:id="17" w:name="_Toc298937100"/>
      <w:bookmarkStart w:id="18" w:name="_Toc298937167"/>
      <w:bookmarkStart w:id="19" w:name="_Toc298923383"/>
      <w:bookmarkStart w:id="20" w:name="_Toc298937462"/>
      <w:bookmarkStart w:id="21" w:name="_Toc298937322"/>
      <w:bookmarkStart w:id="22" w:name="_Toc298937609"/>
      <w:bookmarkStart w:id="23" w:name="_Toc298937188"/>
      <w:bookmarkStart w:id="24" w:name="_Toc298937201"/>
      <w:bookmarkStart w:id="25" w:name="_Toc304402664"/>
      <w:bookmarkStart w:id="26" w:name="_Toc309995472"/>
      <w:bookmarkStart w:id="27" w:name="_Toc304824969"/>
      <w:bookmarkStart w:id="28" w:name="_Toc309995390"/>
      <w:bookmarkStart w:id="29" w:name="_Toc309995999"/>
      <w:bookmarkStart w:id="30" w:name="_Toc309995578"/>
      <w:bookmarkStart w:id="31" w:name="_Toc304828066"/>
      <w:bookmarkStart w:id="32" w:name="_Toc304825081"/>
      <w:bookmarkStart w:id="33" w:name="_Toc310002637"/>
      <w:bookmarkStart w:id="34" w:name="_Toc309993180"/>
      <w:bookmarkStart w:id="35" w:name="_Toc309994551"/>
      <w:bookmarkStart w:id="36" w:name="_Toc309997040"/>
      <w:bookmarkStart w:id="37" w:name="_Toc140993829"/>
      <w:bookmarkStart w:id="38" w:name="_Toc6138"/>
      <w:bookmarkStart w:id="39" w:name="_Toc304825008"/>
      <w:bookmarkStart w:id="40" w:name="_Toc499110426"/>
      <w:r>
        <w:rPr>
          <w:color w:val="000000"/>
        </w:rPr>
        <w:t>范围</w:t>
      </w:r>
      <w:bookmarkStart w:id="41" w:name="_Toc298937549"/>
      <w:bookmarkStart w:id="42" w:name="BT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4321886" w14:textId="7F14D1CE" w:rsidR="00BA1C4E" w:rsidRDefault="008E428B">
      <w:pPr>
        <w:pStyle w:val="aff4"/>
        <w:rPr>
          <w:color w:val="000000"/>
        </w:rPr>
      </w:pPr>
      <w:r>
        <w:rPr>
          <w:rFonts w:hint="eastAsia"/>
          <w:color w:val="000000"/>
        </w:rPr>
        <w:t>本文件规定了有色金属冶炼地块重金属污染土壤级别划分以及污染土壤分级治理技术的适用条件及特点、技术构成和主要设备、关键技术参数或指标以及固化</w:t>
      </w:r>
      <w:r w:rsidR="00A9424F">
        <w:rPr>
          <w:rFonts w:hint="eastAsia"/>
          <w:color w:val="000000"/>
        </w:rPr>
        <w:t>/</w:t>
      </w:r>
      <w:r>
        <w:rPr>
          <w:rFonts w:hint="eastAsia"/>
          <w:color w:val="000000"/>
        </w:rPr>
        <w:t>稳定化技术长效治理的注意事项等基本要求。</w:t>
      </w:r>
    </w:p>
    <w:p w14:paraId="50E3B368" w14:textId="770E8CD6" w:rsidR="00BA1C4E" w:rsidRDefault="008E428B">
      <w:pPr>
        <w:pStyle w:val="aff4"/>
        <w:rPr>
          <w:color w:val="000000"/>
        </w:rPr>
      </w:pPr>
      <w:r>
        <w:rPr>
          <w:color w:val="000000"/>
        </w:rPr>
        <w:t>本</w:t>
      </w:r>
      <w:r w:rsidR="00F3631A">
        <w:rPr>
          <w:rFonts w:hint="eastAsia"/>
          <w:color w:val="000000"/>
        </w:rPr>
        <w:t>文件</w:t>
      </w:r>
      <w:r>
        <w:rPr>
          <w:color w:val="000000"/>
        </w:rPr>
        <w:t>适用于</w:t>
      </w:r>
      <w:r>
        <w:rPr>
          <w:rFonts w:hint="eastAsia"/>
          <w:color w:val="000000"/>
        </w:rPr>
        <w:t>超过</w:t>
      </w:r>
      <w:r w:rsidR="004256AA">
        <w:rPr>
          <w:rFonts w:ascii="Times New Roman"/>
          <w:color w:val="000000"/>
        </w:rPr>
        <w:t xml:space="preserve">GB </w:t>
      </w:r>
      <w:r w:rsidRPr="00785275">
        <w:rPr>
          <w:rFonts w:ascii="Times New Roman"/>
          <w:color w:val="000000"/>
        </w:rPr>
        <w:t>36600</w:t>
      </w:r>
      <w:r>
        <w:rPr>
          <w:rFonts w:hint="eastAsia"/>
          <w:color w:val="000000"/>
        </w:rPr>
        <w:t>土壤污染风险筛选值的受到有色金属冶炼活动影响的腾退地块重金属污染土壤的分级评价与分级治理。</w:t>
      </w:r>
    </w:p>
    <w:p w14:paraId="4A6677BE" w14:textId="77777777" w:rsidR="00BA1C4E" w:rsidRDefault="008E428B">
      <w:pPr>
        <w:pStyle w:val="a0"/>
        <w:spacing w:before="312" w:after="312"/>
        <w:rPr>
          <w:rFonts w:ascii="Times New Roman"/>
          <w:color w:val="000000"/>
        </w:rPr>
      </w:pPr>
      <w:bookmarkStart w:id="43" w:name="_Toc298936802"/>
      <w:bookmarkStart w:id="44" w:name="_Toc298923384"/>
      <w:bookmarkStart w:id="45" w:name="_Toc298937153"/>
      <w:bookmarkStart w:id="46" w:name="_Toc298937168"/>
      <w:bookmarkStart w:id="47" w:name="_Toc298937189"/>
      <w:bookmarkStart w:id="48" w:name="_Toc298937323"/>
      <w:bookmarkStart w:id="49" w:name="_Toc298937358"/>
      <w:bookmarkStart w:id="50" w:name="_Toc298936925"/>
      <w:bookmarkStart w:id="51" w:name="_Toc304828067"/>
      <w:bookmarkStart w:id="52" w:name="_Toc298937277"/>
      <w:bookmarkStart w:id="53" w:name="_Toc309994552"/>
      <w:bookmarkStart w:id="54" w:name="_Toc309995579"/>
      <w:bookmarkStart w:id="55" w:name="_Toc304402665"/>
      <w:bookmarkStart w:id="56" w:name="_Toc309993181"/>
      <w:bookmarkStart w:id="57" w:name="_Toc309995473"/>
      <w:bookmarkStart w:id="58" w:name="_Toc298938636"/>
      <w:bookmarkStart w:id="59" w:name="_Toc309996000"/>
      <w:bookmarkStart w:id="60" w:name="_Toc298937202"/>
      <w:bookmarkStart w:id="61" w:name="_Toc298937101"/>
      <w:bookmarkStart w:id="62" w:name="_Toc304825082"/>
      <w:bookmarkStart w:id="63" w:name="_Toc298937463"/>
      <w:bookmarkStart w:id="64" w:name="_Toc298937550"/>
      <w:bookmarkStart w:id="65" w:name="_Toc298938784"/>
      <w:bookmarkStart w:id="66" w:name="_Toc304825009"/>
      <w:bookmarkStart w:id="67" w:name="_Toc310002638"/>
      <w:bookmarkStart w:id="68" w:name="_Toc298937420"/>
      <w:bookmarkStart w:id="69" w:name="_Toc17330"/>
      <w:bookmarkStart w:id="70" w:name="_Toc309995391"/>
      <w:bookmarkStart w:id="71" w:name="_Toc499110427"/>
      <w:bookmarkStart w:id="72" w:name="_Toc140993830"/>
      <w:bookmarkStart w:id="73" w:name="_Toc304824970"/>
      <w:bookmarkStart w:id="74" w:name="_Toc298937610"/>
      <w:bookmarkStart w:id="75" w:name="_Toc309997041"/>
      <w:r>
        <w:rPr>
          <w:rFonts w:ascii="Times New Roman"/>
          <w:color w:val="000000"/>
        </w:rPr>
        <w:t>规范性引用文件</w:t>
      </w:r>
      <w:bookmarkStart w:id="76" w:name="BT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80CA17E" w14:textId="716E824A" w:rsidR="00BA1C4E" w:rsidRDefault="008E428B">
      <w:pPr>
        <w:pStyle w:val="aff4"/>
        <w:rPr>
          <w:rFonts w:ascii="Times New Roman"/>
          <w:color w:val="000000"/>
        </w:rPr>
      </w:pPr>
      <w:r>
        <w:rPr>
          <w:rFonts w:ascii="Times New Roman"/>
          <w:color w:val="000000"/>
        </w:rPr>
        <w:t>下列文件对于本文件的应用是必不可少的。凡是注日期的引用文件，仅注日期的版本适用于本文件</w:t>
      </w:r>
      <w:r w:rsidR="00EF658D">
        <w:rPr>
          <w:rFonts w:ascii="Times New Roman" w:hint="eastAsia"/>
          <w:color w:val="000000"/>
        </w:rPr>
        <w:t>；</w:t>
      </w:r>
      <w:r>
        <w:rPr>
          <w:rFonts w:ascii="Times New Roman"/>
          <w:color w:val="000000"/>
        </w:rPr>
        <w:t>凡是不注日期的引用文件，其最新版本（包括所有的修改单）适用于本文件。</w:t>
      </w:r>
    </w:p>
    <w:p w14:paraId="294E79FB" w14:textId="1311FB6D" w:rsidR="00BA1C4E" w:rsidRDefault="008E428B">
      <w:pPr>
        <w:pStyle w:val="aff4"/>
        <w:rPr>
          <w:rFonts w:ascii="Times New Roman"/>
          <w:color w:val="000000"/>
        </w:rPr>
      </w:pPr>
      <w:r>
        <w:rPr>
          <w:rFonts w:ascii="Times New Roman" w:hint="eastAsia"/>
          <w:color w:val="000000"/>
        </w:rPr>
        <w:t xml:space="preserve">GB 3838  </w:t>
      </w:r>
      <w:r>
        <w:rPr>
          <w:rFonts w:ascii="Times New Roman" w:hint="eastAsia"/>
          <w:color w:val="000000"/>
        </w:rPr>
        <w:t>地表水环境质量标准</w:t>
      </w:r>
    </w:p>
    <w:p w14:paraId="33CC2207" w14:textId="77777777" w:rsidR="00B4169D" w:rsidRDefault="00B4169D" w:rsidP="00B4169D">
      <w:pPr>
        <w:pStyle w:val="aff4"/>
        <w:rPr>
          <w:rFonts w:ascii="Times New Roman"/>
          <w:color w:val="000000"/>
        </w:rPr>
      </w:pPr>
      <w:r>
        <w:rPr>
          <w:rFonts w:ascii="Times New Roman" w:hint="eastAsia"/>
          <w:color w:val="000000"/>
        </w:rPr>
        <w:t>GB/T</w:t>
      </w:r>
      <w:r>
        <w:rPr>
          <w:rFonts w:ascii="Times New Roman"/>
          <w:color w:val="000000"/>
        </w:rPr>
        <w:t xml:space="preserve"> </w:t>
      </w:r>
      <w:r>
        <w:rPr>
          <w:rFonts w:ascii="Times New Roman" w:hint="eastAsia"/>
          <w:color w:val="000000"/>
        </w:rPr>
        <w:t xml:space="preserve">14848  </w:t>
      </w:r>
      <w:r>
        <w:rPr>
          <w:rFonts w:ascii="Times New Roman" w:hint="eastAsia"/>
          <w:color w:val="000000"/>
        </w:rPr>
        <w:t>地下水质量标准</w:t>
      </w:r>
    </w:p>
    <w:p w14:paraId="1E3C97A8" w14:textId="77777777" w:rsidR="00B4169D" w:rsidRDefault="00B4169D" w:rsidP="00B4169D">
      <w:pPr>
        <w:pStyle w:val="aff4"/>
        <w:rPr>
          <w:rFonts w:ascii="Times New Roman"/>
          <w:color w:val="000000"/>
        </w:rPr>
      </w:pPr>
      <w:r>
        <w:rPr>
          <w:rFonts w:ascii="Times New Roman" w:hint="eastAsia"/>
          <w:color w:val="000000"/>
        </w:rPr>
        <w:t xml:space="preserve">GB 18598  </w:t>
      </w:r>
      <w:r>
        <w:rPr>
          <w:rFonts w:ascii="Times New Roman" w:hint="eastAsia"/>
          <w:color w:val="000000"/>
        </w:rPr>
        <w:t>危险废物填埋污染控制标准</w:t>
      </w:r>
    </w:p>
    <w:p w14:paraId="0E831617" w14:textId="77777777" w:rsidR="00B4169D" w:rsidRDefault="00B4169D" w:rsidP="00B4169D">
      <w:pPr>
        <w:pStyle w:val="aff4"/>
        <w:rPr>
          <w:rFonts w:ascii="Times New Roman"/>
          <w:color w:val="000000"/>
        </w:rPr>
      </w:pPr>
      <w:r>
        <w:rPr>
          <w:rFonts w:ascii="Times New Roman" w:hint="eastAsia"/>
          <w:color w:val="000000"/>
        </w:rPr>
        <w:t xml:space="preserve">GB 36600  </w:t>
      </w:r>
      <w:r>
        <w:rPr>
          <w:rFonts w:ascii="Times New Roman" w:hint="eastAsia"/>
          <w:color w:val="000000"/>
        </w:rPr>
        <w:t>土壤环境质量</w:t>
      </w:r>
      <w:r>
        <w:rPr>
          <w:rFonts w:ascii="Times New Roman" w:hint="eastAsia"/>
          <w:color w:val="000000"/>
        </w:rPr>
        <w:t xml:space="preserve"> </w:t>
      </w:r>
      <w:r>
        <w:rPr>
          <w:rFonts w:ascii="Times New Roman" w:hint="eastAsia"/>
          <w:color w:val="000000"/>
        </w:rPr>
        <w:t>建设用地土壤污染风险管控标准</w:t>
      </w:r>
    </w:p>
    <w:p w14:paraId="5C1C4095" w14:textId="77777777" w:rsidR="00B4169D" w:rsidRDefault="00B4169D" w:rsidP="00B4169D">
      <w:pPr>
        <w:pStyle w:val="aff4"/>
        <w:rPr>
          <w:rFonts w:ascii="Times New Roman"/>
          <w:color w:val="000000"/>
        </w:rPr>
      </w:pPr>
      <w:r>
        <w:rPr>
          <w:rFonts w:ascii="Times New Roman" w:hint="eastAsia"/>
          <w:color w:val="000000"/>
        </w:rPr>
        <w:t xml:space="preserve">GB 50869  </w:t>
      </w:r>
      <w:r>
        <w:rPr>
          <w:rFonts w:ascii="Times New Roman" w:hint="eastAsia"/>
          <w:color w:val="000000"/>
        </w:rPr>
        <w:t>生活垃圾卫生填埋处理技术规范</w:t>
      </w:r>
    </w:p>
    <w:p w14:paraId="3F156C63" w14:textId="77777777" w:rsidR="00B4169D" w:rsidRDefault="00B4169D" w:rsidP="00B4169D">
      <w:pPr>
        <w:pStyle w:val="aff4"/>
        <w:rPr>
          <w:rFonts w:ascii="Times New Roman"/>
          <w:color w:val="000000"/>
        </w:rPr>
      </w:pPr>
      <w:r>
        <w:rPr>
          <w:rFonts w:ascii="Times New Roman" w:hint="eastAsia"/>
          <w:color w:val="000000"/>
        </w:rPr>
        <w:t xml:space="preserve">HJ 25.1  </w:t>
      </w:r>
      <w:r>
        <w:rPr>
          <w:rFonts w:ascii="Times New Roman" w:hint="eastAsia"/>
          <w:color w:val="000000"/>
        </w:rPr>
        <w:t>建设用地土壤污染状况调查技术导则</w:t>
      </w:r>
    </w:p>
    <w:p w14:paraId="33EBDA46" w14:textId="77777777" w:rsidR="00B4169D" w:rsidRDefault="00B4169D" w:rsidP="00B4169D">
      <w:pPr>
        <w:pStyle w:val="aff4"/>
        <w:rPr>
          <w:rFonts w:ascii="Times New Roman"/>
          <w:color w:val="000000"/>
        </w:rPr>
      </w:pPr>
      <w:r>
        <w:rPr>
          <w:rFonts w:ascii="Times New Roman" w:hint="eastAsia"/>
          <w:color w:val="000000"/>
        </w:rPr>
        <w:t xml:space="preserve">HJ 25.2  </w:t>
      </w:r>
      <w:r>
        <w:rPr>
          <w:rFonts w:ascii="Times New Roman" w:hint="eastAsia"/>
          <w:color w:val="000000"/>
        </w:rPr>
        <w:t>建设用地土壤污染风险管控和修复监测技术导则</w:t>
      </w:r>
    </w:p>
    <w:p w14:paraId="7A216DC4" w14:textId="77777777" w:rsidR="00B4169D" w:rsidRDefault="00B4169D" w:rsidP="00B4169D">
      <w:pPr>
        <w:pStyle w:val="aff4"/>
        <w:rPr>
          <w:rFonts w:ascii="Times New Roman"/>
          <w:color w:val="000000"/>
        </w:rPr>
      </w:pPr>
      <w:r>
        <w:rPr>
          <w:rFonts w:ascii="Times New Roman" w:hint="eastAsia"/>
          <w:color w:val="000000"/>
        </w:rPr>
        <w:t xml:space="preserve">HJ 25.3  </w:t>
      </w:r>
      <w:r>
        <w:rPr>
          <w:rFonts w:ascii="Times New Roman" w:hint="eastAsia"/>
          <w:color w:val="000000"/>
        </w:rPr>
        <w:t>建设用地土壤污染风险评估技术导则</w:t>
      </w:r>
    </w:p>
    <w:p w14:paraId="6F7CFD33" w14:textId="77777777" w:rsidR="00B4169D" w:rsidRDefault="00B4169D" w:rsidP="00B4169D">
      <w:pPr>
        <w:pStyle w:val="aff4"/>
        <w:rPr>
          <w:rFonts w:ascii="Times New Roman"/>
          <w:color w:val="000000"/>
        </w:rPr>
      </w:pPr>
      <w:r>
        <w:rPr>
          <w:rFonts w:ascii="Times New Roman" w:hint="eastAsia"/>
          <w:color w:val="000000"/>
        </w:rPr>
        <w:t xml:space="preserve">HJ 25.4  </w:t>
      </w:r>
      <w:r>
        <w:rPr>
          <w:rFonts w:ascii="Times New Roman" w:hint="eastAsia"/>
          <w:color w:val="000000"/>
        </w:rPr>
        <w:t>建设用地土壤修复技术导则</w:t>
      </w:r>
    </w:p>
    <w:p w14:paraId="290A7741" w14:textId="77777777" w:rsidR="00B4169D" w:rsidRDefault="00B4169D" w:rsidP="00B4169D">
      <w:pPr>
        <w:pStyle w:val="aff4"/>
        <w:rPr>
          <w:rFonts w:ascii="Times New Roman"/>
          <w:color w:val="000000"/>
        </w:rPr>
      </w:pPr>
      <w:r>
        <w:rPr>
          <w:rFonts w:ascii="Times New Roman" w:hint="eastAsia"/>
          <w:color w:val="000000"/>
        </w:rPr>
        <w:t xml:space="preserve">HJ 25.5  </w:t>
      </w:r>
      <w:r>
        <w:rPr>
          <w:rFonts w:ascii="Times New Roman" w:hint="eastAsia"/>
          <w:color w:val="000000"/>
        </w:rPr>
        <w:t>污染地块风险管控与土壤修复效果评估技术导则</w:t>
      </w:r>
    </w:p>
    <w:p w14:paraId="118DB77B" w14:textId="77777777" w:rsidR="00B4169D" w:rsidRDefault="00B4169D" w:rsidP="00B4169D">
      <w:pPr>
        <w:pStyle w:val="aff4"/>
        <w:rPr>
          <w:rFonts w:ascii="Times New Roman"/>
          <w:color w:val="000000"/>
        </w:rPr>
      </w:pPr>
      <w:r>
        <w:rPr>
          <w:rFonts w:ascii="Times New Roman" w:hint="eastAsia"/>
          <w:color w:val="000000"/>
        </w:rPr>
        <w:t xml:space="preserve">HJ 25.6  </w:t>
      </w:r>
      <w:r>
        <w:rPr>
          <w:rFonts w:ascii="Times New Roman" w:hint="eastAsia"/>
          <w:color w:val="000000"/>
        </w:rPr>
        <w:t>污染地块地下水修复和风险管控技术导则</w:t>
      </w:r>
    </w:p>
    <w:p w14:paraId="4B37A2CC" w14:textId="77777777" w:rsidR="00B4169D" w:rsidRDefault="00B4169D" w:rsidP="00B4169D">
      <w:pPr>
        <w:pStyle w:val="aff4"/>
        <w:rPr>
          <w:rFonts w:ascii="Times New Roman"/>
          <w:color w:val="000000"/>
        </w:rPr>
      </w:pPr>
      <w:r>
        <w:rPr>
          <w:rFonts w:ascii="Times New Roman" w:hint="eastAsia"/>
          <w:color w:val="000000"/>
        </w:rPr>
        <w:t>HJ/T</w:t>
      </w:r>
      <w:r>
        <w:rPr>
          <w:rFonts w:ascii="Times New Roman"/>
          <w:color w:val="000000"/>
        </w:rPr>
        <w:t xml:space="preserve"> </w:t>
      </w:r>
      <w:r>
        <w:rPr>
          <w:rFonts w:ascii="Times New Roman" w:hint="eastAsia"/>
          <w:color w:val="000000"/>
        </w:rPr>
        <w:t xml:space="preserve">299  </w:t>
      </w:r>
      <w:r>
        <w:rPr>
          <w:rFonts w:ascii="Times New Roman" w:hint="eastAsia"/>
          <w:color w:val="000000"/>
        </w:rPr>
        <w:t>固体废物浸出毒性浸出方法硫酸硝酸法</w:t>
      </w:r>
    </w:p>
    <w:p w14:paraId="4BB51763" w14:textId="77777777" w:rsidR="00B4169D" w:rsidRDefault="00B4169D" w:rsidP="00B4169D">
      <w:pPr>
        <w:pStyle w:val="aff4"/>
        <w:rPr>
          <w:rFonts w:ascii="Times New Roman"/>
          <w:color w:val="000000"/>
        </w:rPr>
      </w:pPr>
      <w:r>
        <w:rPr>
          <w:rFonts w:ascii="Times New Roman" w:hint="eastAsia"/>
          <w:color w:val="000000"/>
        </w:rPr>
        <w:t xml:space="preserve">HJ 557  </w:t>
      </w:r>
      <w:r>
        <w:rPr>
          <w:rFonts w:ascii="Times New Roman" w:hint="eastAsia"/>
          <w:color w:val="000000"/>
        </w:rPr>
        <w:t>固体废物浸出毒性浸出方法水平振荡法</w:t>
      </w:r>
    </w:p>
    <w:p w14:paraId="7D4EFC44" w14:textId="77777777" w:rsidR="00B4169D" w:rsidRDefault="00B4169D" w:rsidP="00B4169D">
      <w:pPr>
        <w:pStyle w:val="aff4"/>
        <w:rPr>
          <w:rFonts w:ascii="Times New Roman"/>
          <w:color w:val="000000"/>
        </w:rPr>
      </w:pPr>
      <w:r>
        <w:rPr>
          <w:rFonts w:ascii="Times New Roman" w:hint="eastAsia"/>
          <w:color w:val="000000"/>
        </w:rPr>
        <w:t>HJ 1282</w:t>
      </w:r>
      <w:r>
        <w:rPr>
          <w:rFonts w:ascii="Times New Roman"/>
          <w:color w:val="000000"/>
        </w:rPr>
        <w:t xml:space="preserve">  </w:t>
      </w:r>
      <w:r>
        <w:rPr>
          <w:rFonts w:ascii="Times New Roman" w:hint="eastAsia"/>
          <w:color w:val="000000"/>
        </w:rPr>
        <w:t>污染土壤修复工程技术规范</w:t>
      </w:r>
      <w:r>
        <w:rPr>
          <w:rFonts w:ascii="Times New Roman" w:hint="eastAsia"/>
          <w:color w:val="000000"/>
        </w:rPr>
        <w:t xml:space="preserve"> </w:t>
      </w:r>
      <w:r>
        <w:rPr>
          <w:rFonts w:ascii="Times New Roman" w:hint="eastAsia"/>
          <w:color w:val="000000"/>
        </w:rPr>
        <w:t>固化</w:t>
      </w:r>
      <w:r>
        <w:rPr>
          <w:rFonts w:ascii="Times New Roman" w:hint="eastAsia"/>
          <w:color w:val="000000"/>
        </w:rPr>
        <w:t>/</w:t>
      </w:r>
      <w:r>
        <w:rPr>
          <w:rFonts w:ascii="Times New Roman" w:hint="eastAsia"/>
          <w:color w:val="000000"/>
        </w:rPr>
        <w:t>稳定化</w:t>
      </w:r>
    </w:p>
    <w:p w14:paraId="6AC9A2A0" w14:textId="77777777" w:rsidR="00BA1C4E" w:rsidRDefault="008E428B">
      <w:pPr>
        <w:pStyle w:val="a0"/>
        <w:spacing w:before="312" w:after="312"/>
        <w:rPr>
          <w:rFonts w:ascii="Times New Roman"/>
          <w:color w:val="000000"/>
        </w:rPr>
      </w:pPr>
      <w:bookmarkStart w:id="77" w:name="_Toc298937324"/>
      <w:bookmarkStart w:id="78" w:name="_Toc298937464"/>
      <w:bookmarkStart w:id="79" w:name="_Toc298937190"/>
      <w:bookmarkStart w:id="80" w:name="_Toc298938785"/>
      <w:bookmarkStart w:id="81" w:name="_Toc304824971"/>
      <w:bookmarkStart w:id="82" w:name="_Toc298937359"/>
      <w:bookmarkStart w:id="83" w:name="_Toc309997042"/>
      <w:bookmarkStart w:id="84" w:name="_Toc309993182"/>
      <w:bookmarkStart w:id="85" w:name="_Toc298937551"/>
      <w:bookmarkStart w:id="86" w:name="_Toc304825083"/>
      <w:bookmarkStart w:id="87" w:name="_Toc309994553"/>
      <w:bookmarkStart w:id="88" w:name="_Toc298937102"/>
      <w:bookmarkStart w:id="89" w:name="_Toc298937169"/>
      <w:bookmarkStart w:id="90" w:name="_Toc298937421"/>
      <w:bookmarkStart w:id="91" w:name="_Toc298936926"/>
      <w:bookmarkStart w:id="92" w:name="_Toc298937154"/>
      <w:bookmarkStart w:id="93" w:name="_Toc298936803"/>
      <w:bookmarkStart w:id="94" w:name="_Toc298937203"/>
      <w:bookmarkStart w:id="95" w:name="_Toc298937278"/>
      <w:bookmarkStart w:id="96" w:name="_Toc14492"/>
      <w:bookmarkStart w:id="97" w:name="_Toc304828068"/>
      <w:bookmarkStart w:id="98" w:name="_Toc309995474"/>
      <w:bookmarkStart w:id="99" w:name="_Toc298938637"/>
      <w:bookmarkStart w:id="100" w:name="_Toc304402666"/>
      <w:bookmarkStart w:id="101" w:name="_Toc304825010"/>
      <w:bookmarkStart w:id="102" w:name="_Toc310002639"/>
      <w:bookmarkStart w:id="103" w:name="_Toc309996001"/>
      <w:bookmarkStart w:id="104" w:name="_Toc499110428"/>
      <w:bookmarkStart w:id="105" w:name="_Toc309995580"/>
      <w:bookmarkStart w:id="106" w:name="_Toc298937611"/>
      <w:bookmarkStart w:id="107" w:name="_Toc309995392"/>
      <w:bookmarkStart w:id="108" w:name="_Toc140993831"/>
      <w:r>
        <w:rPr>
          <w:rFonts w:ascii="Times New Roman"/>
          <w:color w:val="000000"/>
        </w:rPr>
        <w:t>术语和定义</w:t>
      </w:r>
      <w:bookmarkStart w:id="109" w:name="BT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470CCAF" w14:textId="77777777" w:rsidR="00BA1C4E" w:rsidRDefault="008E428B">
      <w:pPr>
        <w:pStyle w:val="aff4"/>
        <w:rPr>
          <w:rFonts w:ascii="Times New Roman"/>
          <w:color w:val="000000"/>
        </w:rPr>
      </w:pPr>
      <w:r>
        <w:rPr>
          <w:rFonts w:ascii="Times New Roman"/>
          <w:color w:val="000000"/>
        </w:rPr>
        <w:t>下列术语和定义适用于本文件。</w:t>
      </w:r>
    </w:p>
    <w:p w14:paraId="06693975" w14:textId="1B33C988" w:rsidR="00BA1C4E" w:rsidRPr="000C459A" w:rsidRDefault="000C459A" w:rsidP="000C459A">
      <w:pPr>
        <w:pStyle w:val="a1"/>
        <w:numPr>
          <w:ilvl w:val="0"/>
          <w:numId w:val="0"/>
        </w:numPr>
        <w:spacing w:before="156" w:after="156"/>
        <w:rPr>
          <w:rFonts w:hAnsi="黑体"/>
        </w:rPr>
      </w:pPr>
      <w:bookmarkStart w:id="110" w:name="_Toc140993832"/>
      <w:bookmarkStart w:id="111" w:name="_Toc32151"/>
      <w:bookmarkStart w:id="112" w:name="_Toc523930438"/>
      <w:bookmarkEnd w:id="110"/>
      <w:r w:rsidRPr="000C459A">
        <w:rPr>
          <w:rFonts w:hAnsi="黑体" w:hint="eastAsia"/>
        </w:rPr>
        <w:t>3</w:t>
      </w:r>
      <w:r w:rsidRPr="000C459A">
        <w:rPr>
          <w:rFonts w:hAnsi="黑体"/>
        </w:rPr>
        <w:t>.1</w:t>
      </w:r>
    </w:p>
    <w:p w14:paraId="0DCDF5DA" w14:textId="77777777" w:rsidR="00BA1C4E" w:rsidRDefault="008E428B">
      <w:pPr>
        <w:pStyle w:val="a1"/>
        <w:numPr>
          <w:ilvl w:val="0"/>
          <w:numId w:val="0"/>
        </w:numPr>
        <w:spacing w:before="156" w:after="156"/>
        <w:ind w:firstLineChars="200" w:firstLine="420"/>
        <w:rPr>
          <w:rFonts w:ascii="Times New Roman"/>
        </w:rPr>
      </w:pPr>
      <w:bookmarkStart w:id="113" w:name="_Toc140993833"/>
      <w:r>
        <w:rPr>
          <w:rFonts w:ascii="Times New Roman" w:hint="eastAsia"/>
          <w:color w:val="000000"/>
        </w:rPr>
        <w:t>土壤污染</w:t>
      </w:r>
      <w:r>
        <w:rPr>
          <w:rFonts w:hint="eastAsia"/>
        </w:rPr>
        <w:t xml:space="preserve">　</w:t>
      </w:r>
      <w:bookmarkEnd w:id="111"/>
      <w:r>
        <w:rPr>
          <w:rFonts w:ascii="Times New Roman"/>
        </w:rPr>
        <w:t>soil contamination</w:t>
      </w:r>
      <w:bookmarkEnd w:id="112"/>
      <w:bookmarkEnd w:id="113"/>
    </w:p>
    <w:p w14:paraId="315D7673" w14:textId="77777777" w:rsidR="00BA1C4E" w:rsidRDefault="008E428B">
      <w:pPr>
        <w:pStyle w:val="aff4"/>
        <w:rPr>
          <w:rFonts w:ascii="Times New Roman"/>
          <w:color w:val="000000"/>
        </w:rPr>
      </w:pPr>
      <w:r>
        <w:rPr>
          <w:rFonts w:ascii="Times New Roman" w:hint="eastAsia"/>
          <w:color w:val="000000"/>
        </w:rPr>
        <w:t>人为因素导致某种物质进入陆地表层土壤，引起土壤化学、物理、生物等方面特性的改变，影响土壤功能和有效利用，危害公众健康或者破坏生态环境的现象。</w:t>
      </w:r>
    </w:p>
    <w:p w14:paraId="763A38D2" w14:textId="77777777" w:rsidR="009B7138" w:rsidRDefault="009B7138" w:rsidP="007B5827">
      <w:pPr>
        <w:pStyle w:val="a1"/>
        <w:numPr>
          <w:ilvl w:val="0"/>
          <w:numId w:val="0"/>
        </w:numPr>
        <w:spacing w:before="156" w:after="156"/>
        <w:outlineLvl w:val="9"/>
        <w:rPr>
          <w:rFonts w:hAnsi="黑体"/>
        </w:rPr>
      </w:pPr>
      <w:bookmarkStart w:id="114" w:name="_Toc140993834"/>
      <w:bookmarkStart w:id="115" w:name="_Toc523930439"/>
      <w:bookmarkEnd w:id="114"/>
    </w:p>
    <w:p w14:paraId="6995F3D7" w14:textId="511037D1" w:rsidR="00BA1C4E" w:rsidRPr="000C459A" w:rsidRDefault="000C459A" w:rsidP="000C459A">
      <w:pPr>
        <w:pStyle w:val="a1"/>
        <w:numPr>
          <w:ilvl w:val="0"/>
          <w:numId w:val="0"/>
        </w:numPr>
        <w:spacing w:before="156" w:after="156"/>
        <w:rPr>
          <w:rFonts w:hAnsi="黑体"/>
        </w:rPr>
      </w:pPr>
      <w:r w:rsidRPr="000C459A">
        <w:rPr>
          <w:rFonts w:hAnsi="黑体" w:hint="eastAsia"/>
        </w:rPr>
        <w:lastRenderedPageBreak/>
        <w:t>3</w:t>
      </w:r>
      <w:r w:rsidRPr="000C459A">
        <w:rPr>
          <w:rFonts w:hAnsi="黑体"/>
        </w:rPr>
        <w:t>.2</w:t>
      </w:r>
    </w:p>
    <w:p w14:paraId="38B865AF" w14:textId="77777777" w:rsidR="00BA1C4E" w:rsidRDefault="008E428B">
      <w:pPr>
        <w:pStyle w:val="a1"/>
        <w:numPr>
          <w:ilvl w:val="0"/>
          <w:numId w:val="0"/>
        </w:numPr>
        <w:spacing w:before="156" w:after="156"/>
        <w:ind w:firstLineChars="200" w:firstLine="420"/>
        <w:rPr>
          <w:rFonts w:ascii="Times New Roman"/>
        </w:rPr>
      </w:pPr>
      <w:bookmarkStart w:id="116" w:name="_Toc140993835"/>
      <w:r>
        <w:rPr>
          <w:rFonts w:ascii="Times New Roman" w:hint="eastAsia"/>
        </w:rPr>
        <w:t xml:space="preserve">地块　</w:t>
      </w:r>
      <w:r>
        <w:rPr>
          <w:rFonts w:ascii="Times New Roman"/>
        </w:rPr>
        <w:t>plot of land</w:t>
      </w:r>
      <w:bookmarkEnd w:id="116"/>
    </w:p>
    <w:p w14:paraId="1521B79A" w14:textId="77777777" w:rsidR="00BA1C4E" w:rsidRDefault="008E428B">
      <w:pPr>
        <w:pStyle w:val="aff4"/>
        <w:rPr>
          <w:rFonts w:ascii="Times New Roman"/>
          <w:color w:val="000000"/>
        </w:rPr>
      </w:pPr>
      <w:r>
        <w:rPr>
          <w:rFonts w:ascii="Times New Roman" w:hint="eastAsia"/>
          <w:color w:val="000000"/>
        </w:rPr>
        <w:t>指地球表面上有统一权属主（对某实体及实物拥有所有权或使用权的单位和个人）和统一土地利用类别的完整封闭的土地，是地籍管理和地籍测绘的基本单元。</w:t>
      </w:r>
    </w:p>
    <w:p w14:paraId="498D5E4B" w14:textId="0B6F8CFD" w:rsidR="00BA1C4E" w:rsidRPr="000C459A" w:rsidRDefault="000C459A" w:rsidP="000C459A">
      <w:pPr>
        <w:pStyle w:val="a1"/>
        <w:numPr>
          <w:ilvl w:val="0"/>
          <w:numId w:val="0"/>
        </w:numPr>
        <w:spacing w:before="156" w:after="156"/>
        <w:rPr>
          <w:rFonts w:hAnsi="黑体"/>
        </w:rPr>
      </w:pPr>
      <w:bookmarkStart w:id="117" w:name="_Toc140993836"/>
      <w:bookmarkEnd w:id="117"/>
      <w:r w:rsidRPr="000C459A">
        <w:rPr>
          <w:rFonts w:hAnsi="黑体" w:hint="eastAsia"/>
        </w:rPr>
        <w:t>3</w:t>
      </w:r>
      <w:r w:rsidRPr="000C459A">
        <w:rPr>
          <w:rFonts w:hAnsi="黑体"/>
        </w:rPr>
        <w:t>.3</w:t>
      </w:r>
    </w:p>
    <w:p w14:paraId="4F674ACC" w14:textId="77777777" w:rsidR="00BA1C4E" w:rsidRDefault="008E428B">
      <w:pPr>
        <w:pStyle w:val="a1"/>
        <w:numPr>
          <w:ilvl w:val="0"/>
          <w:numId w:val="0"/>
        </w:numPr>
        <w:spacing w:before="156" w:after="156"/>
        <w:ind w:firstLineChars="200" w:firstLine="420"/>
        <w:rPr>
          <w:rFonts w:ascii="Times New Roman"/>
        </w:rPr>
      </w:pPr>
      <w:bookmarkStart w:id="118" w:name="_Toc140993837"/>
      <w:r>
        <w:rPr>
          <w:rFonts w:ascii="Times New Roman" w:hint="eastAsia"/>
          <w:color w:val="000000"/>
        </w:rPr>
        <w:t>场地土壤</w:t>
      </w:r>
      <w:r>
        <w:rPr>
          <w:rFonts w:hint="eastAsia"/>
        </w:rPr>
        <w:t xml:space="preserve">　</w:t>
      </w:r>
      <w:bookmarkEnd w:id="115"/>
      <w:r>
        <w:rPr>
          <w:rFonts w:ascii="Times New Roman"/>
        </w:rPr>
        <w:t>site soil</w:t>
      </w:r>
      <w:bookmarkEnd w:id="118"/>
    </w:p>
    <w:p w14:paraId="48AD4EFF" w14:textId="77777777" w:rsidR="00BA1C4E" w:rsidRDefault="008E428B">
      <w:pPr>
        <w:pStyle w:val="aff4"/>
      </w:pPr>
      <w:r>
        <w:rPr>
          <w:rFonts w:hint="eastAsia"/>
        </w:rPr>
        <w:t>场地土壤则是指在场地范围内的地基土。</w:t>
      </w:r>
    </w:p>
    <w:p w14:paraId="3BBC7324" w14:textId="5BFFC061" w:rsidR="00BA1C4E" w:rsidRPr="000C459A" w:rsidRDefault="000C459A" w:rsidP="000C459A">
      <w:pPr>
        <w:pStyle w:val="a1"/>
        <w:numPr>
          <w:ilvl w:val="0"/>
          <w:numId w:val="0"/>
        </w:numPr>
        <w:spacing w:before="156" w:after="156"/>
        <w:rPr>
          <w:rFonts w:hAnsi="黑体"/>
        </w:rPr>
      </w:pPr>
      <w:bookmarkStart w:id="119" w:name="_Toc140993838"/>
      <w:bookmarkEnd w:id="119"/>
      <w:r w:rsidRPr="000C459A">
        <w:rPr>
          <w:rFonts w:hAnsi="黑体" w:hint="eastAsia"/>
        </w:rPr>
        <w:t>3</w:t>
      </w:r>
      <w:r w:rsidRPr="000C459A">
        <w:rPr>
          <w:rFonts w:hAnsi="黑体"/>
        </w:rPr>
        <w:t>.4</w:t>
      </w:r>
    </w:p>
    <w:p w14:paraId="4799F223" w14:textId="77777777" w:rsidR="00BA1C4E" w:rsidRDefault="008E428B">
      <w:pPr>
        <w:pStyle w:val="a1"/>
        <w:numPr>
          <w:ilvl w:val="0"/>
          <w:numId w:val="0"/>
        </w:numPr>
        <w:spacing w:before="156" w:after="156"/>
        <w:ind w:firstLineChars="200" w:firstLine="420"/>
        <w:rPr>
          <w:rFonts w:ascii="Times New Roman"/>
        </w:rPr>
      </w:pPr>
      <w:bookmarkStart w:id="120" w:name="_Toc140993839"/>
      <w:r>
        <w:rPr>
          <w:rFonts w:hint="eastAsia"/>
          <w:color w:val="000000"/>
        </w:rPr>
        <w:t>浸出毒性</w:t>
      </w:r>
      <w:r>
        <w:rPr>
          <w:rFonts w:hint="eastAsia"/>
        </w:rPr>
        <w:t xml:space="preserve">　</w:t>
      </w:r>
      <w:r>
        <w:rPr>
          <w:rFonts w:ascii="Times New Roman"/>
        </w:rPr>
        <w:t>leach</w:t>
      </w:r>
      <w:r>
        <w:rPr>
          <w:rFonts w:ascii="Times New Roman" w:hint="eastAsia"/>
        </w:rPr>
        <w:t>ing toxicity</w:t>
      </w:r>
      <w:bookmarkEnd w:id="120"/>
    </w:p>
    <w:p w14:paraId="77EAFC2F" w14:textId="77777777" w:rsidR="00BA1C4E" w:rsidRDefault="008E428B">
      <w:pPr>
        <w:pStyle w:val="aff4"/>
      </w:pPr>
      <w:r>
        <w:rPr>
          <w:rFonts w:hint="eastAsia"/>
        </w:rPr>
        <w:t>固体废物遇水浸沥，浸出的有害物质迁移转化，污染环境，这种危害特性称为浸出毒性。</w:t>
      </w:r>
    </w:p>
    <w:p w14:paraId="0CD97E41" w14:textId="4C01DAA0" w:rsidR="00BA1C4E" w:rsidRPr="000C459A" w:rsidRDefault="000C459A" w:rsidP="000C459A">
      <w:pPr>
        <w:pStyle w:val="a1"/>
        <w:numPr>
          <w:ilvl w:val="0"/>
          <w:numId w:val="0"/>
        </w:numPr>
        <w:spacing w:before="156" w:after="156"/>
        <w:rPr>
          <w:rFonts w:hAnsi="黑体"/>
        </w:rPr>
      </w:pPr>
      <w:bookmarkStart w:id="121" w:name="_Toc140993840"/>
      <w:bookmarkEnd w:id="121"/>
      <w:r w:rsidRPr="000C459A">
        <w:rPr>
          <w:rFonts w:hAnsi="黑体" w:hint="eastAsia"/>
        </w:rPr>
        <w:t>3</w:t>
      </w:r>
      <w:r w:rsidRPr="000C459A">
        <w:rPr>
          <w:rFonts w:hAnsi="黑体"/>
        </w:rPr>
        <w:t>.5</w:t>
      </w:r>
    </w:p>
    <w:p w14:paraId="0ECD3BBD" w14:textId="77777777" w:rsidR="00BA1C4E" w:rsidRDefault="008E428B">
      <w:pPr>
        <w:pStyle w:val="a1"/>
        <w:numPr>
          <w:ilvl w:val="0"/>
          <w:numId w:val="0"/>
        </w:numPr>
        <w:spacing w:before="156" w:after="156"/>
        <w:ind w:firstLineChars="200" w:firstLine="420"/>
        <w:rPr>
          <w:rFonts w:ascii="Times New Roman"/>
        </w:rPr>
      </w:pPr>
      <w:bookmarkStart w:id="122" w:name="_Toc140993841"/>
      <w:r>
        <w:rPr>
          <w:rFonts w:hint="eastAsia"/>
        </w:rPr>
        <w:t>人体可给性</w:t>
      </w:r>
      <w:r>
        <w:rPr>
          <w:rFonts w:ascii="Times New Roman" w:hint="eastAsia"/>
        </w:rPr>
        <w:t xml:space="preserve">　</w:t>
      </w:r>
      <w:proofErr w:type="spellStart"/>
      <w:r>
        <w:rPr>
          <w:rFonts w:ascii="Times New Roman"/>
        </w:rPr>
        <w:t>bioaccessibility</w:t>
      </w:r>
      <w:bookmarkEnd w:id="122"/>
      <w:proofErr w:type="spellEnd"/>
    </w:p>
    <w:p w14:paraId="72797702" w14:textId="77777777" w:rsidR="00BA1C4E" w:rsidRDefault="008E428B">
      <w:pPr>
        <w:pStyle w:val="aff4"/>
      </w:pPr>
      <w:r>
        <w:rPr>
          <w:rFonts w:hint="eastAsia"/>
        </w:rPr>
        <w:t>重金属污染物随土壤经口摄入后，可溶解于人体肠胃液中的质量与其在摄入土壤中总质量的比值。</w:t>
      </w:r>
    </w:p>
    <w:p w14:paraId="38D76E28" w14:textId="23C8DDF6" w:rsidR="00BA1C4E" w:rsidRPr="000C459A" w:rsidRDefault="000C459A" w:rsidP="000C459A">
      <w:pPr>
        <w:pStyle w:val="a1"/>
        <w:numPr>
          <w:ilvl w:val="0"/>
          <w:numId w:val="0"/>
        </w:numPr>
        <w:spacing w:before="156" w:after="156"/>
        <w:rPr>
          <w:rFonts w:hAnsi="黑体"/>
        </w:rPr>
      </w:pPr>
      <w:bookmarkStart w:id="123" w:name="_Toc140993842"/>
      <w:bookmarkEnd w:id="123"/>
      <w:r w:rsidRPr="000C459A">
        <w:rPr>
          <w:rFonts w:hAnsi="黑体" w:hint="eastAsia"/>
        </w:rPr>
        <w:t>3</w:t>
      </w:r>
      <w:r w:rsidRPr="000C459A">
        <w:rPr>
          <w:rFonts w:hAnsi="黑体"/>
        </w:rPr>
        <w:t>.6</w:t>
      </w:r>
    </w:p>
    <w:p w14:paraId="3BA9B3B2" w14:textId="77777777" w:rsidR="00BA1C4E" w:rsidRDefault="008E428B">
      <w:pPr>
        <w:pStyle w:val="a1"/>
        <w:numPr>
          <w:ilvl w:val="0"/>
          <w:numId w:val="0"/>
        </w:numPr>
        <w:spacing w:before="156" w:after="156"/>
        <w:ind w:firstLineChars="200" w:firstLine="420"/>
      </w:pPr>
      <w:bookmarkStart w:id="124" w:name="_Toc140993843"/>
      <w:r>
        <w:rPr>
          <w:rFonts w:hint="eastAsia"/>
          <w:color w:val="000000"/>
        </w:rPr>
        <w:t>地下水污染</w:t>
      </w:r>
      <w:r>
        <w:rPr>
          <w:rFonts w:hint="eastAsia"/>
        </w:rPr>
        <w:t xml:space="preserve">　</w:t>
      </w:r>
      <w:r>
        <w:rPr>
          <w:rFonts w:ascii="Times New Roman"/>
        </w:rPr>
        <w:t>ground water pollution</w:t>
      </w:r>
      <w:bookmarkEnd w:id="124"/>
    </w:p>
    <w:p w14:paraId="785F9238" w14:textId="77777777" w:rsidR="00BA1C4E" w:rsidRDefault="008E428B">
      <w:pPr>
        <w:pStyle w:val="aff4"/>
      </w:pPr>
      <w:r>
        <w:rPr>
          <w:rFonts w:hint="eastAsia"/>
        </w:rPr>
        <w:t>人为原因导致地下水物理、化学、生物性质改变，使地下水水质恶化的现象。</w:t>
      </w:r>
    </w:p>
    <w:p w14:paraId="05797764" w14:textId="530685E6" w:rsidR="00BA1C4E" w:rsidRPr="000C459A" w:rsidRDefault="000C459A" w:rsidP="000C459A">
      <w:pPr>
        <w:pStyle w:val="a1"/>
        <w:numPr>
          <w:ilvl w:val="0"/>
          <w:numId w:val="0"/>
        </w:numPr>
        <w:spacing w:before="156" w:after="156"/>
        <w:rPr>
          <w:rFonts w:hAnsi="黑体"/>
        </w:rPr>
      </w:pPr>
      <w:bookmarkStart w:id="125" w:name="_Toc140993844"/>
      <w:bookmarkEnd w:id="125"/>
      <w:r w:rsidRPr="000C459A">
        <w:rPr>
          <w:rFonts w:hAnsi="黑体" w:hint="eastAsia"/>
        </w:rPr>
        <w:t>3</w:t>
      </w:r>
      <w:r w:rsidRPr="000C459A">
        <w:rPr>
          <w:rFonts w:hAnsi="黑体"/>
        </w:rPr>
        <w:t>.7</w:t>
      </w:r>
    </w:p>
    <w:p w14:paraId="1FE5F359" w14:textId="77777777" w:rsidR="00BA1C4E" w:rsidRDefault="008E428B">
      <w:pPr>
        <w:pStyle w:val="a1"/>
        <w:numPr>
          <w:ilvl w:val="0"/>
          <w:numId w:val="0"/>
        </w:numPr>
        <w:spacing w:before="156" w:after="156"/>
        <w:ind w:firstLineChars="200" w:firstLine="420"/>
        <w:rPr>
          <w:rFonts w:ascii="Times New Roman"/>
        </w:rPr>
      </w:pPr>
      <w:bookmarkStart w:id="126" w:name="_Toc140993845"/>
      <w:r>
        <w:rPr>
          <w:rFonts w:hint="eastAsia"/>
        </w:rPr>
        <w:t xml:space="preserve">地表水污染　</w:t>
      </w:r>
      <w:r>
        <w:rPr>
          <w:rFonts w:ascii="Times New Roman" w:hint="eastAsia"/>
        </w:rPr>
        <w:t>surface water pollution</w:t>
      </w:r>
      <w:bookmarkEnd w:id="126"/>
    </w:p>
    <w:p w14:paraId="53B563C4" w14:textId="77777777" w:rsidR="00BA1C4E" w:rsidRDefault="008E428B">
      <w:pPr>
        <w:pStyle w:val="aff4"/>
      </w:pPr>
      <w:r>
        <w:rPr>
          <w:rFonts w:hint="eastAsia"/>
        </w:rPr>
        <w:t>主要由人类活动排放污染物，造成地面水的水体水质污染。</w:t>
      </w:r>
    </w:p>
    <w:p w14:paraId="70C12626" w14:textId="724B7C99" w:rsidR="00BA1C4E" w:rsidRPr="000C459A" w:rsidRDefault="000C459A" w:rsidP="000C459A">
      <w:pPr>
        <w:pStyle w:val="a1"/>
        <w:numPr>
          <w:ilvl w:val="0"/>
          <w:numId w:val="0"/>
        </w:numPr>
        <w:spacing w:before="156" w:after="156"/>
        <w:rPr>
          <w:rFonts w:hAnsi="黑体"/>
        </w:rPr>
      </w:pPr>
      <w:bookmarkStart w:id="127" w:name="_Toc140993846"/>
      <w:bookmarkEnd w:id="127"/>
      <w:r w:rsidRPr="000C459A">
        <w:rPr>
          <w:rFonts w:hAnsi="黑体" w:hint="eastAsia"/>
        </w:rPr>
        <w:t>3</w:t>
      </w:r>
      <w:r w:rsidRPr="000C459A">
        <w:rPr>
          <w:rFonts w:hAnsi="黑体"/>
        </w:rPr>
        <w:t>.8</w:t>
      </w:r>
    </w:p>
    <w:p w14:paraId="3CE178BD" w14:textId="77777777" w:rsidR="00BA1C4E" w:rsidRDefault="008E428B">
      <w:pPr>
        <w:pStyle w:val="a1"/>
        <w:numPr>
          <w:ilvl w:val="0"/>
          <w:numId w:val="0"/>
        </w:numPr>
        <w:spacing w:before="156" w:after="156"/>
        <w:ind w:firstLineChars="200" w:firstLine="420"/>
        <w:rPr>
          <w:rFonts w:ascii="Times New Roman"/>
        </w:rPr>
      </w:pPr>
      <w:bookmarkStart w:id="128" w:name="_Toc140993847"/>
      <w:r>
        <w:rPr>
          <w:rFonts w:hint="eastAsia"/>
          <w:color w:val="000000"/>
        </w:rPr>
        <w:t>分级评价</w:t>
      </w:r>
      <w:r>
        <w:rPr>
          <w:rFonts w:hint="eastAsia"/>
        </w:rPr>
        <w:t xml:space="preserve">　</w:t>
      </w:r>
      <w:r>
        <w:rPr>
          <w:rFonts w:ascii="Times New Roman"/>
        </w:rPr>
        <w:t>grading assessment</w:t>
      </w:r>
      <w:bookmarkEnd w:id="128"/>
    </w:p>
    <w:p w14:paraId="30E1CB18" w14:textId="77777777" w:rsidR="00BA1C4E" w:rsidRDefault="008E428B">
      <w:pPr>
        <w:pStyle w:val="aff4"/>
      </w:pPr>
      <w:r>
        <w:rPr>
          <w:rFonts w:hint="eastAsia"/>
        </w:rPr>
        <w:t>是指在有色金属冶炼地块基础信息调查和采样调查的基础上，根据地块土壤和地下水中重金属污染物超标情况、污染物迁移途径和受体等信息，分析地块的相对风险水平，并根据多个地块的相对风险水平评价划分地块污染风险等级，为开展重金属污染地块治理修复提供依据。</w:t>
      </w:r>
    </w:p>
    <w:p w14:paraId="613928CA" w14:textId="3F418A29" w:rsidR="00BA1C4E" w:rsidRPr="000C459A" w:rsidRDefault="000C459A" w:rsidP="000C459A">
      <w:pPr>
        <w:pStyle w:val="a1"/>
        <w:numPr>
          <w:ilvl w:val="0"/>
          <w:numId w:val="0"/>
        </w:numPr>
        <w:spacing w:before="156" w:after="156"/>
        <w:rPr>
          <w:rFonts w:hAnsi="黑体"/>
        </w:rPr>
      </w:pPr>
      <w:bookmarkStart w:id="129" w:name="_Toc140993848"/>
      <w:bookmarkEnd w:id="129"/>
      <w:r w:rsidRPr="000C459A">
        <w:rPr>
          <w:rFonts w:hAnsi="黑体" w:hint="eastAsia"/>
        </w:rPr>
        <w:t>3</w:t>
      </w:r>
      <w:r w:rsidRPr="000C459A">
        <w:rPr>
          <w:rFonts w:hAnsi="黑体"/>
        </w:rPr>
        <w:t>.9</w:t>
      </w:r>
    </w:p>
    <w:p w14:paraId="68DEBBC0" w14:textId="77777777" w:rsidR="00BA1C4E" w:rsidRDefault="008E428B">
      <w:pPr>
        <w:pStyle w:val="a1"/>
        <w:numPr>
          <w:ilvl w:val="0"/>
          <w:numId w:val="0"/>
        </w:numPr>
        <w:spacing w:before="156" w:after="156"/>
        <w:ind w:firstLineChars="200" w:firstLine="420"/>
        <w:rPr>
          <w:color w:val="000000"/>
        </w:rPr>
      </w:pPr>
      <w:bookmarkStart w:id="130" w:name="_Toc140993849"/>
      <w:r>
        <w:rPr>
          <w:rFonts w:hint="eastAsia"/>
          <w:color w:val="000000"/>
        </w:rPr>
        <w:t xml:space="preserve">分级治理　</w:t>
      </w:r>
      <w:r>
        <w:rPr>
          <w:rFonts w:ascii="Times New Roman"/>
          <w:color w:val="000000"/>
        </w:rPr>
        <w:t>level to level administration</w:t>
      </w:r>
      <w:bookmarkEnd w:id="130"/>
    </w:p>
    <w:p w14:paraId="43D5A3F2" w14:textId="77777777" w:rsidR="00BA1C4E" w:rsidRDefault="008E428B">
      <w:pPr>
        <w:pStyle w:val="aff4"/>
      </w:pPr>
      <w:r>
        <w:rPr>
          <w:rFonts w:hint="eastAsia"/>
        </w:rPr>
        <w:t>根据修复目标以及土壤污染级别的不同采取相应的治理措施。</w:t>
      </w:r>
    </w:p>
    <w:p w14:paraId="75FF43AB" w14:textId="6E6C4728" w:rsidR="00BA1C4E" w:rsidRPr="000C459A" w:rsidRDefault="000C459A" w:rsidP="000C459A">
      <w:pPr>
        <w:pStyle w:val="a1"/>
        <w:numPr>
          <w:ilvl w:val="0"/>
          <w:numId w:val="0"/>
        </w:numPr>
        <w:spacing w:before="156" w:after="156"/>
        <w:rPr>
          <w:rFonts w:hAnsi="黑体"/>
        </w:rPr>
      </w:pPr>
      <w:bookmarkStart w:id="131" w:name="_Toc140993850"/>
      <w:bookmarkEnd w:id="131"/>
      <w:r w:rsidRPr="000C459A">
        <w:rPr>
          <w:rFonts w:hAnsi="黑体" w:hint="eastAsia"/>
        </w:rPr>
        <w:t>3</w:t>
      </w:r>
      <w:r w:rsidRPr="000C459A">
        <w:rPr>
          <w:rFonts w:hAnsi="黑体"/>
        </w:rPr>
        <w:t>.10</w:t>
      </w:r>
    </w:p>
    <w:p w14:paraId="5CD3DF45" w14:textId="77777777" w:rsidR="00BA1C4E" w:rsidRDefault="008E428B" w:rsidP="005217BE">
      <w:pPr>
        <w:pStyle w:val="a1"/>
        <w:numPr>
          <w:ilvl w:val="0"/>
          <w:numId w:val="0"/>
        </w:numPr>
        <w:spacing w:before="156" w:after="156"/>
        <w:ind w:firstLineChars="200" w:firstLine="420"/>
        <w:rPr>
          <w:rFonts w:ascii="Times New Roman"/>
          <w:color w:val="000000"/>
        </w:rPr>
      </w:pPr>
      <w:bookmarkStart w:id="132" w:name="_Toc140993851"/>
      <w:r>
        <w:rPr>
          <w:rFonts w:hint="eastAsia"/>
          <w:color w:val="000000"/>
        </w:rPr>
        <w:t xml:space="preserve">原位修复　</w:t>
      </w:r>
      <w:r>
        <w:rPr>
          <w:rFonts w:ascii="Times New Roman"/>
          <w:color w:val="000000"/>
        </w:rPr>
        <w:t>in-situ remediation</w:t>
      </w:r>
      <w:bookmarkEnd w:id="132"/>
    </w:p>
    <w:p w14:paraId="4729467D" w14:textId="77777777" w:rsidR="00BA1C4E" w:rsidRDefault="008E428B">
      <w:pPr>
        <w:pStyle w:val="aff4"/>
      </w:pPr>
      <w:r>
        <w:rPr>
          <w:rFonts w:hint="eastAsia"/>
        </w:rPr>
        <w:t>不移动受污染的土壤或地下水，直接在地块发生污染的位置对其进行原地修复或处理。</w:t>
      </w:r>
    </w:p>
    <w:p w14:paraId="1581FCE2" w14:textId="55F03C91" w:rsidR="00BA1C4E" w:rsidRPr="000C459A" w:rsidRDefault="000C459A" w:rsidP="000C459A">
      <w:pPr>
        <w:pStyle w:val="a1"/>
        <w:numPr>
          <w:ilvl w:val="0"/>
          <w:numId w:val="0"/>
        </w:numPr>
        <w:spacing w:before="156" w:after="156"/>
        <w:rPr>
          <w:rFonts w:hAnsi="黑体"/>
        </w:rPr>
      </w:pPr>
      <w:bookmarkStart w:id="133" w:name="_Toc140993852"/>
      <w:bookmarkEnd w:id="133"/>
      <w:r w:rsidRPr="000C459A">
        <w:rPr>
          <w:rFonts w:hAnsi="黑体" w:hint="eastAsia"/>
        </w:rPr>
        <w:lastRenderedPageBreak/>
        <w:t>3</w:t>
      </w:r>
      <w:r w:rsidRPr="000C459A">
        <w:rPr>
          <w:rFonts w:hAnsi="黑体"/>
        </w:rPr>
        <w:t>.11</w:t>
      </w:r>
    </w:p>
    <w:p w14:paraId="36CF2AEA" w14:textId="77777777" w:rsidR="00BA1C4E" w:rsidRDefault="008E428B" w:rsidP="000C459A">
      <w:pPr>
        <w:pStyle w:val="a1"/>
        <w:numPr>
          <w:ilvl w:val="0"/>
          <w:numId w:val="0"/>
        </w:numPr>
        <w:spacing w:before="156" w:after="156"/>
        <w:ind w:firstLineChars="200" w:firstLine="420"/>
        <w:rPr>
          <w:rFonts w:ascii="Times New Roman"/>
          <w:color w:val="000000"/>
        </w:rPr>
      </w:pPr>
      <w:bookmarkStart w:id="134" w:name="_Toc140993853"/>
      <w:r>
        <w:rPr>
          <w:rFonts w:hint="eastAsia"/>
          <w:color w:val="000000"/>
        </w:rPr>
        <w:t xml:space="preserve">异位修复　</w:t>
      </w:r>
      <w:r>
        <w:rPr>
          <w:rFonts w:ascii="Times New Roman"/>
          <w:color w:val="000000"/>
        </w:rPr>
        <w:t>ex-situ remediation</w:t>
      </w:r>
      <w:bookmarkEnd w:id="134"/>
    </w:p>
    <w:p w14:paraId="44AE316B" w14:textId="77777777" w:rsidR="00BA1C4E" w:rsidRDefault="008E428B">
      <w:pPr>
        <w:pStyle w:val="aff4"/>
      </w:pPr>
      <w:r>
        <w:rPr>
          <w:rFonts w:hint="eastAsia"/>
        </w:rPr>
        <w:t>将受污染的土壤或地下水从地块发生污染的原来位置挖掘或抽提出来，搬运或转移到其他场所或位置进行治理修复。</w:t>
      </w:r>
    </w:p>
    <w:p w14:paraId="69AAAA9D" w14:textId="3F4352ED" w:rsidR="00BA1C4E" w:rsidRPr="000C459A" w:rsidRDefault="000C459A" w:rsidP="000C459A">
      <w:pPr>
        <w:pStyle w:val="a1"/>
        <w:numPr>
          <w:ilvl w:val="0"/>
          <w:numId w:val="0"/>
        </w:numPr>
        <w:spacing w:before="156" w:after="156"/>
        <w:rPr>
          <w:rFonts w:hAnsi="黑体"/>
        </w:rPr>
      </w:pPr>
      <w:bookmarkStart w:id="135" w:name="_Toc140993854"/>
      <w:bookmarkEnd w:id="135"/>
      <w:r w:rsidRPr="000C459A">
        <w:rPr>
          <w:rFonts w:hAnsi="黑体" w:hint="eastAsia"/>
        </w:rPr>
        <w:t>3</w:t>
      </w:r>
      <w:r w:rsidRPr="000C459A">
        <w:rPr>
          <w:rFonts w:hAnsi="黑体"/>
        </w:rPr>
        <w:t>.12</w:t>
      </w:r>
    </w:p>
    <w:p w14:paraId="53603395" w14:textId="77777777" w:rsidR="00BA1C4E" w:rsidRDefault="008E428B" w:rsidP="000C459A">
      <w:pPr>
        <w:pStyle w:val="a1"/>
        <w:numPr>
          <w:ilvl w:val="0"/>
          <w:numId w:val="0"/>
        </w:numPr>
        <w:spacing w:before="156" w:after="156"/>
        <w:ind w:firstLineChars="200" w:firstLine="420"/>
        <w:rPr>
          <w:rFonts w:ascii="Times New Roman"/>
          <w:color w:val="000000"/>
        </w:rPr>
      </w:pPr>
      <w:bookmarkStart w:id="136" w:name="_Toc140993855"/>
      <w:r>
        <w:rPr>
          <w:rFonts w:hint="eastAsia"/>
          <w:color w:val="000000"/>
        </w:rPr>
        <w:t xml:space="preserve">固化/稳定化　</w:t>
      </w:r>
      <w:r>
        <w:rPr>
          <w:rFonts w:ascii="Times New Roman"/>
          <w:color w:val="000000"/>
        </w:rPr>
        <w:t>solidification/stabilization</w:t>
      </w:r>
      <w:bookmarkEnd w:id="136"/>
    </w:p>
    <w:p w14:paraId="2CA7C035" w14:textId="77777777" w:rsidR="00BA1C4E" w:rsidRDefault="008E428B" w:rsidP="000C459A">
      <w:pPr>
        <w:pStyle w:val="aff4"/>
      </w:pPr>
      <w:r>
        <w:rPr>
          <w:rFonts w:hint="eastAsia"/>
        </w:rPr>
        <w:t>将污染土壤与能聚结成固体的材料（如水泥、沥青、化学制剂等）相混合，通过形成晶格结构或化学键，将土壤或危险废物捕获或者固定在固体结构中，从而降低有害组分的移动性或浸出性。其中，固化是将废物中的有害成分用惰性材料加以束缚的过程，而稳定化是将废物的有害成分进行化学改性或将其导入某种稳定的晶格结构中的过程，即固化通过采用具有高度结构完整性的整块固体将污染物密封起来以降低其物理有效性，而稳定化则降低了污染物的化学有效性。</w:t>
      </w:r>
    </w:p>
    <w:p w14:paraId="3A858C5E" w14:textId="23B0E4A6" w:rsidR="00BA1C4E" w:rsidRPr="0040136E" w:rsidRDefault="0040136E" w:rsidP="0040136E">
      <w:pPr>
        <w:pStyle w:val="a1"/>
        <w:numPr>
          <w:ilvl w:val="0"/>
          <w:numId w:val="0"/>
        </w:numPr>
        <w:spacing w:before="156" w:after="156"/>
        <w:rPr>
          <w:rFonts w:hAnsi="黑体"/>
        </w:rPr>
      </w:pPr>
      <w:bookmarkStart w:id="137" w:name="_Toc140993856"/>
      <w:bookmarkEnd w:id="137"/>
      <w:r w:rsidRPr="0040136E">
        <w:rPr>
          <w:rFonts w:hAnsi="黑体"/>
        </w:rPr>
        <w:t>3.13</w:t>
      </w:r>
    </w:p>
    <w:p w14:paraId="3066C731" w14:textId="77777777" w:rsidR="00BA1C4E" w:rsidRDefault="008E428B" w:rsidP="0040136E">
      <w:pPr>
        <w:pStyle w:val="a1"/>
        <w:numPr>
          <w:ilvl w:val="0"/>
          <w:numId w:val="0"/>
        </w:numPr>
        <w:spacing w:before="156" w:after="156"/>
        <w:ind w:firstLineChars="200" w:firstLine="420"/>
        <w:rPr>
          <w:rFonts w:ascii="Times New Roman"/>
          <w:color w:val="000000"/>
        </w:rPr>
      </w:pPr>
      <w:bookmarkStart w:id="138" w:name="_Toc140993857"/>
      <w:r>
        <w:rPr>
          <w:rFonts w:hint="eastAsia"/>
          <w:color w:val="000000"/>
        </w:rPr>
        <w:t xml:space="preserve">阻隔技术　</w:t>
      </w:r>
      <w:r>
        <w:rPr>
          <w:rFonts w:ascii="Times New Roman"/>
          <w:color w:val="000000"/>
        </w:rPr>
        <w:t>diaphragming engineering technology</w:t>
      </w:r>
      <w:bookmarkEnd w:id="138"/>
    </w:p>
    <w:p w14:paraId="71F482DB" w14:textId="77777777" w:rsidR="00BA1C4E" w:rsidRDefault="008E428B" w:rsidP="0040136E">
      <w:pPr>
        <w:pStyle w:val="aff4"/>
      </w:pPr>
      <w:r>
        <w:rPr>
          <w:rFonts w:hint="eastAsia"/>
        </w:rPr>
        <w:t>采用阻隔、堵截、覆盖等工程措施，控制污染物迁移或阻断污染物暴露途径，使污染介质与周围环境隔离，避免污染物与人体接触和随降水或地下水迁移进而对人体和周围环境造成危害，降低和消除地块污染物对人体健康和环境的风险的技术。</w:t>
      </w:r>
    </w:p>
    <w:p w14:paraId="4C4D0684" w14:textId="0767A49C" w:rsidR="00BA1C4E" w:rsidRPr="0040136E" w:rsidRDefault="0040136E" w:rsidP="0040136E">
      <w:pPr>
        <w:pStyle w:val="a1"/>
        <w:numPr>
          <w:ilvl w:val="0"/>
          <w:numId w:val="0"/>
        </w:numPr>
        <w:spacing w:before="156" w:after="156"/>
        <w:rPr>
          <w:rFonts w:hAnsi="黑体"/>
        </w:rPr>
      </w:pPr>
      <w:bookmarkStart w:id="139" w:name="_Toc140993858"/>
      <w:bookmarkEnd w:id="139"/>
      <w:r w:rsidRPr="0040136E">
        <w:rPr>
          <w:rFonts w:hAnsi="黑体" w:hint="eastAsia"/>
        </w:rPr>
        <w:t>3</w:t>
      </w:r>
      <w:r w:rsidRPr="0040136E">
        <w:rPr>
          <w:rFonts w:hAnsi="黑体"/>
        </w:rPr>
        <w:t>.14</w:t>
      </w:r>
    </w:p>
    <w:p w14:paraId="41FFD2A4" w14:textId="77777777" w:rsidR="00BA1C4E" w:rsidRDefault="008E428B" w:rsidP="0040136E">
      <w:pPr>
        <w:pStyle w:val="a1"/>
        <w:numPr>
          <w:ilvl w:val="0"/>
          <w:numId w:val="0"/>
        </w:numPr>
        <w:spacing w:before="156" w:after="156"/>
        <w:ind w:firstLineChars="200" w:firstLine="420"/>
        <w:rPr>
          <w:rFonts w:ascii="Times New Roman"/>
          <w:color w:val="000000"/>
        </w:rPr>
      </w:pPr>
      <w:bookmarkStart w:id="140" w:name="_Toc140993859"/>
      <w:r>
        <w:rPr>
          <w:rFonts w:hint="eastAsia"/>
          <w:color w:val="000000"/>
        </w:rPr>
        <w:t xml:space="preserve">建设用地健康风险评估　</w:t>
      </w:r>
      <w:r>
        <w:rPr>
          <w:rFonts w:ascii="Times New Roman"/>
          <w:color w:val="000000"/>
        </w:rPr>
        <w:t>health risk assessment of land for construction</w:t>
      </w:r>
      <w:bookmarkEnd w:id="140"/>
    </w:p>
    <w:p w14:paraId="0E40AB82" w14:textId="77777777" w:rsidR="00BA1C4E" w:rsidRDefault="008E428B" w:rsidP="0040136E">
      <w:pPr>
        <w:ind w:firstLineChars="200" w:firstLine="420"/>
        <w:rPr>
          <w:rFonts w:ascii="宋体"/>
          <w:kern w:val="0"/>
          <w:szCs w:val="20"/>
        </w:rPr>
      </w:pPr>
      <w:bookmarkStart w:id="141" w:name="_Toc298937612"/>
      <w:bookmarkStart w:id="142" w:name="_Toc304824972"/>
      <w:bookmarkStart w:id="143" w:name="_Toc298937465"/>
      <w:bookmarkStart w:id="144" w:name="_Toc309995393"/>
      <w:bookmarkStart w:id="145" w:name="_Toc298938786"/>
      <w:bookmarkStart w:id="146" w:name="_Toc309996002"/>
      <w:bookmarkStart w:id="147" w:name="_Toc309997043"/>
      <w:bookmarkStart w:id="148" w:name="_Toc499110429"/>
      <w:bookmarkStart w:id="149" w:name="_Toc298937325"/>
      <w:bookmarkStart w:id="150" w:name="_Toc309995475"/>
      <w:bookmarkStart w:id="151" w:name="_Toc309995581"/>
      <w:bookmarkStart w:id="152" w:name="_Toc309994554"/>
      <w:bookmarkStart w:id="153" w:name="_Toc310002640"/>
      <w:bookmarkStart w:id="154" w:name="_Toc29215"/>
      <w:bookmarkStart w:id="155" w:name="_Toc298937422"/>
      <w:bookmarkStart w:id="156" w:name="_Toc304825084"/>
      <w:bookmarkStart w:id="157" w:name="_Toc298937204"/>
      <w:bookmarkStart w:id="158" w:name="_Toc298937552"/>
      <w:bookmarkStart w:id="159" w:name="_Toc298937360"/>
      <w:bookmarkStart w:id="160" w:name="_Toc298937279"/>
      <w:bookmarkStart w:id="161" w:name="_Toc298937191"/>
      <w:bookmarkStart w:id="162" w:name="_Toc298938638"/>
      <w:bookmarkStart w:id="163" w:name="_Toc304402667"/>
      <w:bookmarkStart w:id="164" w:name="_Toc304828069"/>
      <w:bookmarkStart w:id="165" w:name="_Toc298937155"/>
      <w:bookmarkStart w:id="166" w:name="_Toc304825011"/>
      <w:bookmarkStart w:id="167" w:name="_Toc298937103"/>
      <w:bookmarkStart w:id="168" w:name="_Toc298937170"/>
      <w:bookmarkStart w:id="169" w:name="_Toc298936927"/>
      <w:bookmarkStart w:id="170" w:name="_Toc309993183"/>
      <w:bookmarkStart w:id="171" w:name="_Toc298936804"/>
      <w:r>
        <w:rPr>
          <w:rFonts w:ascii="宋体" w:hint="eastAsia"/>
          <w:kern w:val="0"/>
          <w:szCs w:val="20"/>
        </w:rPr>
        <w:t>在土壤污染状况调查的基础上，分析地块土壤和地下水中污染物对人群的主要暴露途径，评估污染物对人体健康的致癌风险和危害水平。</w:t>
      </w:r>
    </w:p>
    <w:p w14:paraId="62004A1B" w14:textId="77777777" w:rsidR="00BA1C4E" w:rsidRDefault="008E428B">
      <w:pPr>
        <w:pStyle w:val="a0"/>
        <w:spacing w:before="312" w:after="312"/>
        <w:rPr>
          <w:rFonts w:ascii="Times New Roman"/>
          <w:color w:val="000000"/>
        </w:rPr>
      </w:pPr>
      <w:bookmarkStart w:id="172" w:name="_Toc140993860"/>
      <w:r>
        <w:rPr>
          <w:rFonts w:ascii="Times New Roman"/>
          <w:color w:val="000000"/>
        </w:rPr>
        <w:t>符号、代号和缩略语</w:t>
      </w:r>
      <w:bookmarkStart w:id="173" w:name="BT4"/>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027CA45" w14:textId="77777777" w:rsidR="00BA1C4E" w:rsidRDefault="008E428B">
      <w:pPr>
        <w:pStyle w:val="aff4"/>
        <w:rPr>
          <w:rFonts w:ascii="Times New Roman"/>
          <w:color w:val="000000"/>
        </w:rPr>
      </w:pPr>
      <w:r>
        <w:rPr>
          <w:rFonts w:ascii="Times New Roman"/>
          <w:color w:val="000000"/>
        </w:rPr>
        <w:t>下列符号</w:t>
      </w:r>
      <w:r>
        <w:rPr>
          <w:rFonts w:ascii="Times New Roman" w:hint="eastAsia"/>
          <w:color w:val="000000"/>
        </w:rPr>
        <w:t>、缩略语</w:t>
      </w:r>
      <w:r>
        <w:rPr>
          <w:rFonts w:ascii="Times New Roman"/>
          <w:color w:val="000000"/>
        </w:rPr>
        <w:t>适用于本文件。</w:t>
      </w:r>
    </w:p>
    <w:p w14:paraId="51879873" w14:textId="77777777" w:rsidR="00BA1C4E" w:rsidRDefault="008E428B">
      <w:pPr>
        <w:pStyle w:val="aff4"/>
        <w:ind w:firstLine="422"/>
        <w:rPr>
          <w:color w:val="FF0000"/>
        </w:rPr>
      </w:pPr>
      <w:r>
        <w:rPr>
          <w:rFonts w:hint="eastAsia"/>
          <w:b/>
        </w:rPr>
        <w:t>SBET：</w:t>
      </w:r>
      <w:r>
        <w:rPr>
          <w:rFonts w:hint="eastAsia"/>
        </w:rPr>
        <w:t>模拟胃液提取法</w:t>
      </w:r>
    </w:p>
    <w:p w14:paraId="59F05662" w14:textId="77777777" w:rsidR="00BA1C4E" w:rsidRDefault="008E428B">
      <w:pPr>
        <w:pStyle w:val="a0"/>
        <w:spacing w:before="312" w:after="312"/>
        <w:rPr>
          <w:color w:val="000000"/>
        </w:rPr>
      </w:pPr>
      <w:bookmarkStart w:id="174" w:name="BT5"/>
      <w:bookmarkStart w:id="175" w:name="_Toc140993861"/>
      <w:bookmarkEnd w:id="174"/>
      <w:r>
        <w:rPr>
          <w:rFonts w:hint="eastAsia"/>
          <w:color w:val="000000"/>
        </w:rPr>
        <w:t>基本原则</w:t>
      </w:r>
      <w:bookmarkEnd w:id="175"/>
    </w:p>
    <w:p w14:paraId="742EC8F0" w14:textId="77777777" w:rsidR="00BA1C4E" w:rsidRDefault="008E428B">
      <w:pPr>
        <w:pStyle w:val="a1"/>
        <w:spacing w:before="156" w:after="156"/>
        <w:ind w:left="0"/>
      </w:pPr>
      <w:bookmarkStart w:id="176" w:name="_Toc30033"/>
      <w:bookmarkStart w:id="177" w:name="_Toc140993862"/>
      <w:r>
        <w:rPr>
          <w:rFonts w:hint="eastAsia"/>
        </w:rPr>
        <w:t>科学性</w:t>
      </w:r>
      <w:bookmarkStart w:id="178" w:name="BT5Z1"/>
      <w:bookmarkEnd w:id="176"/>
      <w:bookmarkEnd w:id="177"/>
      <w:bookmarkEnd w:id="178"/>
    </w:p>
    <w:p w14:paraId="41DF8923" w14:textId="13A9E735" w:rsidR="00BA1C4E" w:rsidRDefault="008E428B">
      <w:pPr>
        <w:pStyle w:val="aff4"/>
        <w:rPr>
          <w:color w:val="000000"/>
        </w:rPr>
      </w:pPr>
      <w:r>
        <w:rPr>
          <w:rFonts w:hint="eastAsia"/>
          <w:color w:val="000000"/>
        </w:rPr>
        <w:t>本</w:t>
      </w:r>
      <w:r w:rsidR="00642A1B">
        <w:rPr>
          <w:rFonts w:hint="eastAsia"/>
          <w:color w:val="000000"/>
        </w:rPr>
        <w:t>文件</w:t>
      </w:r>
      <w:r>
        <w:rPr>
          <w:rFonts w:hint="eastAsia"/>
          <w:color w:val="000000"/>
        </w:rPr>
        <w:t>提出的分级评价和分级治理技术以有色金属冶炼地块土壤详查单元内的重金属污染特征为基础，充分考虑科学确定评价内容、评价指标和评价方法。基于分级评价的基础上针对有色冶炼地块污染土壤选用相匹配的、针对性强的治理技术措施，以系统思维实现精准治污，对有色冶炼地块重金属污染土壤进行科学生态治理，切实改善区域生态环境质量。</w:t>
      </w:r>
    </w:p>
    <w:p w14:paraId="379CD78F" w14:textId="77777777" w:rsidR="00BA1C4E" w:rsidRDefault="008E428B">
      <w:pPr>
        <w:pStyle w:val="a1"/>
        <w:spacing w:before="156" w:after="156"/>
        <w:ind w:left="0"/>
      </w:pPr>
      <w:bookmarkStart w:id="179" w:name="BT5Z2"/>
      <w:bookmarkStart w:id="180" w:name="_Toc140993863"/>
      <w:bookmarkEnd w:id="179"/>
      <w:r>
        <w:rPr>
          <w:rFonts w:hint="eastAsia"/>
        </w:rPr>
        <w:t>综合性</w:t>
      </w:r>
      <w:bookmarkEnd w:id="180"/>
    </w:p>
    <w:p w14:paraId="17066C9B" w14:textId="77777777" w:rsidR="00BA1C4E" w:rsidRDefault="008E428B">
      <w:pPr>
        <w:pStyle w:val="aff4"/>
        <w:rPr>
          <w:color w:val="000000"/>
        </w:rPr>
      </w:pPr>
      <w:r>
        <w:rPr>
          <w:rFonts w:hint="eastAsia"/>
          <w:color w:val="000000"/>
        </w:rPr>
        <w:lastRenderedPageBreak/>
        <w:t>全面调研相关法律法规、标准规范，统筹兼顾，既要符合法律、法规、规章和强制性标准的要求，又要与现行的国家标准、行业标准和地方标准相协调，科学合理制定有色金属冶炼地块重金属污染土壤分级治理技术规范。</w:t>
      </w:r>
    </w:p>
    <w:p w14:paraId="6C81401C" w14:textId="77777777" w:rsidR="00BA1C4E" w:rsidRDefault="008E428B">
      <w:pPr>
        <w:pStyle w:val="a1"/>
        <w:spacing w:before="156" w:after="156"/>
        <w:ind w:left="0"/>
      </w:pPr>
      <w:bookmarkStart w:id="181" w:name="_Toc140993864"/>
      <w:r>
        <w:rPr>
          <w:rFonts w:hint="eastAsia"/>
        </w:rPr>
        <w:t>公正性</w:t>
      </w:r>
      <w:bookmarkEnd w:id="181"/>
    </w:p>
    <w:p w14:paraId="35856F27" w14:textId="77777777" w:rsidR="00BA1C4E" w:rsidRDefault="008E428B">
      <w:pPr>
        <w:pStyle w:val="aff4"/>
        <w:rPr>
          <w:color w:val="000000"/>
        </w:rPr>
      </w:pPr>
      <w:r>
        <w:rPr>
          <w:rFonts w:hint="eastAsia"/>
          <w:color w:val="000000"/>
        </w:rPr>
        <w:t>以引导、规范有色冶炼腾退地块土壤重金属污染治理为出发点，科学设置规范制定范围，合理制定标准内容；制定过程多方参与、协商一致、公开透明，满足我省生态环境保护和有色冶炼腾退地块土壤重金属污染防治等工作需求，促进市场有序竞争和行业健康发展。</w:t>
      </w:r>
    </w:p>
    <w:p w14:paraId="5B06041B" w14:textId="77777777" w:rsidR="00BA1C4E" w:rsidRDefault="008E428B">
      <w:pPr>
        <w:pStyle w:val="a1"/>
        <w:spacing w:before="156" w:after="156"/>
        <w:ind w:left="0"/>
      </w:pPr>
      <w:bookmarkStart w:id="182" w:name="_Toc140993865"/>
      <w:r>
        <w:rPr>
          <w:rFonts w:hint="eastAsia"/>
        </w:rPr>
        <w:t>实用性</w:t>
      </w:r>
      <w:bookmarkEnd w:id="182"/>
    </w:p>
    <w:p w14:paraId="10D870F4" w14:textId="77777777" w:rsidR="00BA1C4E" w:rsidRDefault="008E428B">
      <w:pPr>
        <w:pStyle w:val="aff4"/>
      </w:pPr>
      <w:r>
        <w:rPr>
          <w:rFonts w:hint="eastAsia"/>
        </w:rPr>
        <w:t>以服务于我省生态环境保护和有色冶炼腾退地块土壤重金属污染防治等工作为导向，基于国情、省情，结合当前技术水平和经济社会条件，合理制定技术方法和要求，切实做到分级合理可行，易于操作，选用的匹配技术成熟度高、经济合理、切实可行，适用于我省有色冶炼腾退地块土壤重金属污染治理。</w:t>
      </w:r>
    </w:p>
    <w:p w14:paraId="5A71FEC1" w14:textId="77777777" w:rsidR="00BA1C4E" w:rsidRDefault="008E428B">
      <w:pPr>
        <w:pStyle w:val="a0"/>
        <w:spacing w:before="312" w:after="312"/>
        <w:rPr>
          <w:color w:val="000000"/>
        </w:rPr>
      </w:pPr>
      <w:bookmarkStart w:id="183" w:name="BT6"/>
      <w:bookmarkStart w:id="184" w:name="_Toc140993866"/>
      <w:bookmarkEnd w:id="183"/>
      <w:r>
        <w:rPr>
          <w:rFonts w:hint="eastAsia"/>
          <w:color w:val="000000"/>
        </w:rPr>
        <w:t>分级评价体系</w:t>
      </w:r>
      <w:bookmarkEnd w:id="184"/>
    </w:p>
    <w:p w14:paraId="62472234" w14:textId="77777777" w:rsidR="00BA1C4E" w:rsidRDefault="008E428B" w:rsidP="0041617F">
      <w:pPr>
        <w:pStyle w:val="a1"/>
        <w:spacing w:before="156" w:after="156"/>
        <w:ind w:left="0"/>
        <w:rPr>
          <w:color w:val="000000"/>
        </w:rPr>
      </w:pPr>
      <w:bookmarkStart w:id="185" w:name="BT6Z1"/>
      <w:bookmarkStart w:id="186" w:name="_Toc140993867"/>
      <w:bookmarkEnd w:id="185"/>
      <w:r>
        <w:rPr>
          <w:rFonts w:hint="eastAsia"/>
          <w:color w:val="000000"/>
        </w:rPr>
        <w:t>评价指标</w:t>
      </w:r>
      <w:bookmarkEnd w:id="186"/>
    </w:p>
    <w:p w14:paraId="5DF81AE7" w14:textId="1B763813" w:rsidR="00BA1C4E" w:rsidRDefault="008E428B">
      <w:pPr>
        <w:pStyle w:val="a1"/>
        <w:numPr>
          <w:ilvl w:val="0"/>
          <w:numId w:val="0"/>
        </w:numPr>
        <w:spacing w:before="156" w:after="156"/>
        <w:rPr>
          <w:color w:val="000000"/>
        </w:rPr>
      </w:pPr>
      <w:bookmarkStart w:id="187" w:name="_Toc140993868"/>
      <w:r>
        <w:rPr>
          <w:rFonts w:hint="eastAsia"/>
          <w:color w:val="000000"/>
        </w:rPr>
        <w:t>6.1.</w:t>
      </w:r>
      <w:r>
        <w:rPr>
          <w:color w:val="000000"/>
        </w:rPr>
        <w:t>1</w:t>
      </w:r>
      <w:r>
        <w:rPr>
          <w:rFonts w:hint="eastAsia"/>
          <w:color w:val="000000"/>
        </w:rPr>
        <w:t>土壤重金属总量</w:t>
      </w:r>
      <w:bookmarkEnd w:id="187"/>
    </w:p>
    <w:p w14:paraId="122CECFB" w14:textId="06DFF985" w:rsidR="00BA1C4E" w:rsidRDefault="008E428B">
      <w:pPr>
        <w:pStyle w:val="aff4"/>
        <w:rPr>
          <w:rFonts w:ascii="Times New Roman"/>
        </w:rPr>
      </w:pPr>
      <w:r>
        <w:rPr>
          <w:rFonts w:hint="eastAsia"/>
        </w:rPr>
        <w:t>超过</w:t>
      </w:r>
      <w:r w:rsidRPr="003A64CE">
        <w:rPr>
          <w:rFonts w:ascii="Times New Roman"/>
        </w:rPr>
        <w:t>GB 36600</w:t>
      </w:r>
      <w:r>
        <w:rPr>
          <w:rFonts w:hint="eastAsia"/>
        </w:rPr>
        <w:t>筛选值的土壤开展污染土壤评价分级，筛选值见附录A。</w:t>
      </w:r>
    </w:p>
    <w:p w14:paraId="7B3E197D" w14:textId="77777777" w:rsidR="00BA1C4E" w:rsidRDefault="008E428B">
      <w:pPr>
        <w:pStyle w:val="a1"/>
        <w:numPr>
          <w:ilvl w:val="0"/>
          <w:numId w:val="0"/>
        </w:numPr>
        <w:spacing w:before="156" w:after="156"/>
        <w:rPr>
          <w:color w:val="000000"/>
        </w:rPr>
      </w:pPr>
      <w:bookmarkStart w:id="188" w:name="_Toc140993869"/>
      <w:r>
        <w:rPr>
          <w:rFonts w:hint="eastAsia"/>
          <w:color w:val="000000"/>
        </w:rPr>
        <w:t>6.1.2  基于</w:t>
      </w:r>
      <w:r>
        <w:rPr>
          <w:color w:val="000000"/>
        </w:rPr>
        <w:t>硫酸硝酸法或水</w:t>
      </w:r>
      <w:r>
        <w:rPr>
          <w:rFonts w:hint="eastAsia"/>
          <w:color w:val="000000"/>
        </w:rPr>
        <w:t>的</w:t>
      </w:r>
      <w:r>
        <w:rPr>
          <w:color w:val="000000"/>
        </w:rPr>
        <w:t>浸</w:t>
      </w:r>
      <w:r>
        <w:rPr>
          <w:rFonts w:hint="eastAsia"/>
          <w:color w:val="000000"/>
        </w:rPr>
        <w:t>出毒性水质评价</w:t>
      </w:r>
      <w:bookmarkEnd w:id="188"/>
    </w:p>
    <w:p w14:paraId="1864D51C" w14:textId="2FD80683" w:rsidR="00BA1C4E" w:rsidRDefault="008E428B">
      <w:pPr>
        <w:pStyle w:val="aff4"/>
        <w:rPr>
          <w:rFonts w:ascii="Times New Roman"/>
        </w:rPr>
      </w:pPr>
      <w:r>
        <w:rPr>
          <w:rFonts w:ascii="Times New Roman"/>
        </w:rPr>
        <w:t>阳离子重金属开展基于</w:t>
      </w:r>
      <w:r>
        <w:rPr>
          <w:rFonts w:ascii="Times New Roman"/>
        </w:rPr>
        <w:t>HJ/T</w:t>
      </w:r>
      <w:r w:rsidR="002A7189">
        <w:rPr>
          <w:rFonts w:ascii="Times New Roman"/>
        </w:rPr>
        <w:t xml:space="preserve"> </w:t>
      </w:r>
      <w:r>
        <w:rPr>
          <w:rFonts w:ascii="Times New Roman"/>
        </w:rPr>
        <w:t>299</w:t>
      </w:r>
      <w:r>
        <w:rPr>
          <w:rFonts w:ascii="Times New Roman"/>
        </w:rPr>
        <w:t>或阴离子重金属</w:t>
      </w:r>
      <w:r>
        <w:rPr>
          <w:rFonts w:ascii="Times New Roman" w:hint="eastAsia"/>
        </w:rPr>
        <w:t>开展</w:t>
      </w:r>
      <w:r>
        <w:rPr>
          <w:rFonts w:ascii="Times New Roman"/>
        </w:rPr>
        <w:t>基于</w:t>
      </w:r>
      <w:r>
        <w:rPr>
          <w:rFonts w:ascii="Times New Roman"/>
        </w:rPr>
        <w:t>HJ</w:t>
      </w:r>
      <w:r w:rsidR="002A7189">
        <w:rPr>
          <w:rFonts w:ascii="Times New Roman"/>
        </w:rPr>
        <w:t xml:space="preserve"> </w:t>
      </w:r>
      <w:r>
        <w:rPr>
          <w:rFonts w:ascii="Times New Roman"/>
        </w:rPr>
        <w:t>557</w:t>
      </w:r>
      <w:r>
        <w:rPr>
          <w:rFonts w:ascii="Times New Roman"/>
        </w:rPr>
        <w:t>的浸出毒性水质评价。</w:t>
      </w:r>
    </w:p>
    <w:p w14:paraId="6F506105" w14:textId="77777777" w:rsidR="00BA1C4E" w:rsidRDefault="008E428B">
      <w:pPr>
        <w:pStyle w:val="a1"/>
        <w:numPr>
          <w:ilvl w:val="0"/>
          <w:numId w:val="0"/>
        </w:numPr>
        <w:spacing w:before="156" w:after="156"/>
        <w:rPr>
          <w:color w:val="000000"/>
        </w:rPr>
      </w:pPr>
      <w:bookmarkStart w:id="189" w:name="_Toc140993870"/>
      <w:r>
        <w:rPr>
          <w:rFonts w:hint="eastAsia"/>
          <w:color w:val="000000"/>
        </w:rPr>
        <w:t>6.1.3  基于</w:t>
      </w:r>
      <w:r>
        <w:rPr>
          <w:color w:val="000000"/>
        </w:rPr>
        <w:t>SBET</w:t>
      </w:r>
      <w:r>
        <w:rPr>
          <w:rFonts w:hint="eastAsia"/>
          <w:color w:val="000000"/>
        </w:rPr>
        <w:t>提取的人体健康风险评价（致癌和非致癌健康风险指数）</w:t>
      </w:r>
      <w:bookmarkEnd w:id="189"/>
    </w:p>
    <w:p w14:paraId="79A6F273" w14:textId="39623573" w:rsidR="00BA1C4E" w:rsidRDefault="008E428B">
      <w:pPr>
        <w:pStyle w:val="aff4"/>
        <w:rPr>
          <w:rFonts w:ascii="Times New Roman"/>
        </w:rPr>
      </w:pPr>
      <w:r>
        <w:rPr>
          <w:rFonts w:ascii="Times New Roman"/>
        </w:rPr>
        <w:t>模拟测试土壤中重金属在人体胃</w:t>
      </w:r>
      <w:r>
        <w:rPr>
          <w:rFonts w:ascii="Times New Roman" w:hint="eastAsia"/>
        </w:rPr>
        <w:t>液</w:t>
      </w:r>
      <w:r>
        <w:rPr>
          <w:rFonts w:ascii="Times New Roman"/>
        </w:rPr>
        <w:t>中的溶解量</w:t>
      </w:r>
      <w:r>
        <w:rPr>
          <w:rFonts w:ascii="Times New Roman" w:hint="eastAsia"/>
        </w:rPr>
        <w:t>（</w:t>
      </w:r>
      <w:r>
        <w:rPr>
          <w:rFonts w:ascii="Times New Roman"/>
        </w:rPr>
        <w:t>即人体可给量</w:t>
      </w:r>
      <w:r>
        <w:rPr>
          <w:rFonts w:ascii="Times New Roman" w:hint="eastAsia"/>
        </w:rPr>
        <w:t>，</w:t>
      </w:r>
      <w:r>
        <w:rPr>
          <w:rFonts w:ascii="Times New Roman" w:hint="eastAsia"/>
        </w:rPr>
        <w:t>SBET</w:t>
      </w:r>
      <w:r>
        <w:rPr>
          <w:rFonts w:ascii="Times New Roman" w:hint="eastAsia"/>
        </w:rPr>
        <w:t>提取，具体方法见附录</w:t>
      </w:r>
      <w:r>
        <w:rPr>
          <w:rFonts w:ascii="Times New Roman" w:hint="eastAsia"/>
        </w:rPr>
        <w:t>B</w:t>
      </w:r>
      <w:r>
        <w:rPr>
          <w:rFonts w:ascii="Times New Roman" w:hint="eastAsia"/>
        </w:rPr>
        <w:t>），</w:t>
      </w:r>
      <w:r>
        <w:rPr>
          <w:rFonts w:ascii="Times New Roman"/>
        </w:rPr>
        <w:t>并以此作为暴露剂量进行健康风险评估</w:t>
      </w:r>
      <w:r>
        <w:rPr>
          <w:rFonts w:ascii="Times New Roman" w:hint="eastAsia"/>
        </w:rPr>
        <w:t>，</w:t>
      </w:r>
      <w:r>
        <w:rPr>
          <w:rFonts w:ascii="Times New Roman"/>
        </w:rPr>
        <w:t>能在一定程度上克服基于总量评估导致结果过于保守的问题。土壤中污染物进入人体的主要途径有：经口直接摄入、皮肤接触、呼吸吸入、食用受污染的农产品以及饮用被污染的水。为简化计算，考虑实际腾退地块重金属对人体健康的主要风险，人群主要经口摄入土壤而暴露于污染土壤，</w:t>
      </w:r>
      <w:r>
        <w:rPr>
          <w:rFonts w:ascii="Times New Roman" w:hint="eastAsia"/>
        </w:rPr>
        <w:t>基于</w:t>
      </w:r>
      <w:r>
        <w:rPr>
          <w:rFonts w:ascii="Times New Roman" w:hint="eastAsia"/>
        </w:rPr>
        <w:t>SBET</w:t>
      </w:r>
      <w:r>
        <w:rPr>
          <w:rFonts w:ascii="Times New Roman" w:hint="eastAsia"/>
        </w:rPr>
        <w:t>提取</w:t>
      </w:r>
      <w:r>
        <w:rPr>
          <w:rFonts w:ascii="Times New Roman"/>
        </w:rPr>
        <w:t>分别计算经口摄入土壤途径的致癌效应和非致癌效应。计算公式按照</w:t>
      </w:r>
      <w:r>
        <w:rPr>
          <w:rFonts w:ascii="Times New Roman"/>
        </w:rPr>
        <w:t>HJ</w:t>
      </w:r>
      <w:r w:rsidR="002A7189">
        <w:rPr>
          <w:rFonts w:ascii="Times New Roman"/>
        </w:rPr>
        <w:t xml:space="preserve"> </w:t>
      </w:r>
      <w:r>
        <w:rPr>
          <w:rFonts w:ascii="Times New Roman"/>
        </w:rPr>
        <w:t>25.3</w:t>
      </w:r>
      <w:r>
        <w:rPr>
          <w:rFonts w:ascii="Times New Roman"/>
        </w:rPr>
        <w:t>要求执行（第一类或者第二类用地方式下，对于单一污染物的致癌和非致癌效应，计算经口途径对应土壤暴露量的推荐模型见</w:t>
      </w:r>
      <w:r>
        <w:rPr>
          <w:rFonts w:ascii="Times New Roman"/>
        </w:rPr>
        <w:t>HJ</w:t>
      </w:r>
      <w:r w:rsidR="002A7189">
        <w:rPr>
          <w:rFonts w:ascii="Times New Roman"/>
        </w:rPr>
        <w:t xml:space="preserve"> </w:t>
      </w:r>
      <w:r>
        <w:rPr>
          <w:rFonts w:ascii="Times New Roman"/>
        </w:rPr>
        <w:t>25.3</w:t>
      </w:r>
      <w:r>
        <w:rPr>
          <w:rFonts w:ascii="Times New Roman"/>
        </w:rPr>
        <w:t>附录</w:t>
      </w:r>
      <w:r>
        <w:rPr>
          <w:rFonts w:ascii="Times New Roman"/>
        </w:rPr>
        <w:t>A</w:t>
      </w:r>
      <w:r>
        <w:rPr>
          <w:rFonts w:ascii="Times New Roman"/>
        </w:rPr>
        <w:t>公式（</w:t>
      </w:r>
      <w:r>
        <w:rPr>
          <w:rFonts w:ascii="Times New Roman"/>
        </w:rPr>
        <w:t>A.1</w:t>
      </w:r>
      <w:r>
        <w:rPr>
          <w:rFonts w:ascii="Times New Roman"/>
        </w:rPr>
        <w:t>）和公式（</w:t>
      </w:r>
      <w:r>
        <w:rPr>
          <w:rFonts w:ascii="Times New Roman"/>
        </w:rPr>
        <w:t>A.2</w:t>
      </w:r>
      <w:r>
        <w:rPr>
          <w:rFonts w:ascii="Times New Roman"/>
        </w:rPr>
        <w:t>）或者见附录</w:t>
      </w:r>
      <w:r>
        <w:rPr>
          <w:rFonts w:ascii="Times New Roman"/>
        </w:rPr>
        <w:t>A</w:t>
      </w:r>
      <w:r>
        <w:rPr>
          <w:rFonts w:ascii="Times New Roman"/>
        </w:rPr>
        <w:t>公式（</w:t>
      </w:r>
      <w:r>
        <w:rPr>
          <w:rFonts w:ascii="Times New Roman"/>
        </w:rPr>
        <w:t>A.21</w:t>
      </w:r>
      <w:r>
        <w:rPr>
          <w:rFonts w:ascii="Times New Roman"/>
        </w:rPr>
        <w:t>）和公式（</w:t>
      </w:r>
      <w:r>
        <w:rPr>
          <w:rFonts w:ascii="Times New Roman"/>
        </w:rPr>
        <w:t>A.22</w:t>
      </w:r>
      <w:r>
        <w:rPr>
          <w:rFonts w:ascii="Times New Roman"/>
        </w:rPr>
        <w:t>））。</w:t>
      </w:r>
    </w:p>
    <w:p w14:paraId="14B02CE0" w14:textId="77777777" w:rsidR="00BA1C4E" w:rsidRDefault="008E428B">
      <w:pPr>
        <w:pStyle w:val="a1"/>
        <w:spacing w:before="156" w:after="156"/>
        <w:ind w:left="0"/>
        <w:rPr>
          <w:color w:val="000000"/>
        </w:rPr>
      </w:pPr>
      <w:bookmarkStart w:id="190" w:name="BT6Z2"/>
      <w:bookmarkStart w:id="191" w:name="_Toc140993871"/>
      <w:bookmarkEnd w:id="190"/>
      <w:r>
        <w:rPr>
          <w:rFonts w:hint="eastAsia"/>
          <w:color w:val="000000"/>
        </w:rPr>
        <w:t>等级划分</w:t>
      </w:r>
      <w:bookmarkEnd w:id="191"/>
    </w:p>
    <w:p w14:paraId="45B65408" w14:textId="77777777" w:rsidR="00BA1C4E" w:rsidRDefault="008E428B">
      <w:pPr>
        <w:pStyle w:val="a1"/>
        <w:numPr>
          <w:ilvl w:val="0"/>
          <w:numId w:val="0"/>
        </w:numPr>
        <w:spacing w:before="156" w:after="156"/>
        <w:rPr>
          <w:color w:val="000000"/>
        </w:rPr>
      </w:pPr>
      <w:bookmarkStart w:id="192" w:name="_Toc140993872"/>
      <w:r>
        <w:rPr>
          <w:rFonts w:hint="eastAsia"/>
          <w:color w:val="000000"/>
        </w:rPr>
        <w:t>6.2.1  场调资料收集与初评</w:t>
      </w:r>
      <w:bookmarkEnd w:id="192"/>
    </w:p>
    <w:p w14:paraId="7EC29BC2" w14:textId="50703F11" w:rsidR="00BA1C4E" w:rsidRDefault="008E428B">
      <w:pPr>
        <w:pStyle w:val="aff4"/>
        <w:rPr>
          <w:rFonts w:ascii="Times New Roman"/>
        </w:rPr>
      </w:pPr>
      <w:r>
        <w:rPr>
          <w:rFonts w:ascii="Times New Roman" w:hint="eastAsia"/>
        </w:rPr>
        <w:t>基于详查单元内场调结果</w:t>
      </w:r>
      <w:r>
        <w:rPr>
          <w:rFonts w:ascii="Times New Roman"/>
        </w:rPr>
        <w:t>，结合</w:t>
      </w:r>
      <w:r>
        <w:rPr>
          <w:rFonts w:ascii="Times New Roman" w:hint="eastAsia"/>
        </w:rPr>
        <w:t>有色冶炼企业厂区实际情况</w:t>
      </w:r>
      <w:r>
        <w:rPr>
          <w:rFonts w:ascii="Times New Roman"/>
        </w:rPr>
        <w:t>，确定土壤重金属污染物种类、污染程度、空间分布特征，开展场地土壤污染风险评估，评估过程符合</w:t>
      </w:r>
      <w:r>
        <w:rPr>
          <w:rFonts w:ascii="Times New Roman"/>
        </w:rPr>
        <w:t>HJ 25.3</w:t>
      </w:r>
      <w:r w:rsidR="009C4FCF">
        <w:rPr>
          <w:rFonts w:ascii="Times New Roman" w:hint="eastAsia"/>
        </w:rPr>
        <w:t>规定</w:t>
      </w:r>
      <w:r>
        <w:rPr>
          <w:rFonts w:ascii="Times New Roman"/>
        </w:rPr>
        <w:t>。</w:t>
      </w:r>
    </w:p>
    <w:p w14:paraId="0ADE4E0D" w14:textId="77777777" w:rsidR="00BA1C4E" w:rsidRDefault="008E428B">
      <w:pPr>
        <w:pStyle w:val="a1"/>
        <w:numPr>
          <w:ilvl w:val="0"/>
          <w:numId w:val="0"/>
        </w:numPr>
        <w:spacing w:before="156" w:after="156"/>
        <w:rPr>
          <w:color w:val="000000"/>
        </w:rPr>
      </w:pPr>
      <w:bookmarkStart w:id="193" w:name="_Toc140993873"/>
      <w:r>
        <w:rPr>
          <w:rFonts w:hint="eastAsia"/>
          <w:color w:val="000000"/>
        </w:rPr>
        <w:t>6.2.2  污染分级与调整</w:t>
      </w:r>
      <w:bookmarkEnd w:id="193"/>
    </w:p>
    <w:p w14:paraId="0D6503D8" w14:textId="0D0627F3" w:rsidR="00BA1C4E" w:rsidRDefault="008E428B">
      <w:pPr>
        <w:pStyle w:val="aff4"/>
        <w:rPr>
          <w:rFonts w:ascii="Times New Roman"/>
        </w:rPr>
      </w:pPr>
      <w:r>
        <w:rPr>
          <w:rFonts w:ascii="Times New Roman" w:hint="eastAsia"/>
        </w:rPr>
        <w:t>在前期初评的基础上，对于</w:t>
      </w:r>
      <w:r>
        <w:rPr>
          <w:rFonts w:ascii="Times New Roman"/>
        </w:rPr>
        <w:t>实际场地土壤重金属总量超过</w:t>
      </w:r>
      <w:r>
        <w:rPr>
          <w:rFonts w:ascii="Times New Roman"/>
        </w:rPr>
        <w:t>GB 36600</w:t>
      </w:r>
      <w:r>
        <w:rPr>
          <w:rFonts w:ascii="Times New Roman"/>
        </w:rPr>
        <w:t>筛选值的土壤</w:t>
      </w:r>
      <w:r>
        <w:rPr>
          <w:rFonts w:ascii="Times New Roman" w:hint="eastAsia"/>
        </w:rPr>
        <w:t>，</w:t>
      </w:r>
      <w:r>
        <w:rPr>
          <w:rFonts w:ascii="Times New Roman"/>
        </w:rPr>
        <w:t>开展土壤重金属浸出毒性</w:t>
      </w:r>
      <w:r>
        <w:rPr>
          <w:rFonts w:ascii="Times New Roman" w:hint="eastAsia"/>
        </w:rPr>
        <w:t>测试</w:t>
      </w:r>
      <w:r>
        <w:rPr>
          <w:rFonts w:ascii="Times New Roman"/>
        </w:rPr>
        <w:t>（</w:t>
      </w:r>
      <w:r>
        <w:rPr>
          <w:rFonts w:ascii="Times New Roman"/>
        </w:rPr>
        <w:t>HJ/T 299</w:t>
      </w:r>
      <w:r>
        <w:rPr>
          <w:rFonts w:ascii="Times New Roman"/>
        </w:rPr>
        <w:t>或者</w:t>
      </w:r>
      <w:r>
        <w:rPr>
          <w:rFonts w:ascii="Times New Roman"/>
        </w:rPr>
        <w:t>HJ</w:t>
      </w:r>
      <w:r w:rsidR="00E14476">
        <w:rPr>
          <w:rFonts w:ascii="Times New Roman"/>
        </w:rPr>
        <w:t xml:space="preserve"> </w:t>
      </w:r>
      <w:r>
        <w:rPr>
          <w:rFonts w:ascii="Times New Roman"/>
        </w:rPr>
        <w:t>557</w:t>
      </w:r>
      <w:r>
        <w:rPr>
          <w:rFonts w:ascii="Times New Roman"/>
        </w:rPr>
        <w:t>）和</w:t>
      </w:r>
      <w:r>
        <w:rPr>
          <w:rFonts w:ascii="Times New Roman" w:hint="eastAsia"/>
        </w:rPr>
        <w:t>基于</w:t>
      </w:r>
      <w:r>
        <w:rPr>
          <w:rFonts w:ascii="Times New Roman" w:hint="eastAsia"/>
        </w:rPr>
        <w:t>SBET</w:t>
      </w:r>
      <w:r>
        <w:rPr>
          <w:rFonts w:ascii="Times New Roman" w:hint="eastAsia"/>
        </w:rPr>
        <w:t>提取的人体健康风险评价（致癌和非致癌健康风险指数）</w:t>
      </w:r>
      <w:r>
        <w:rPr>
          <w:rFonts w:ascii="Times New Roman"/>
        </w:rPr>
        <w:t>，根据土壤重金属污染的评价指标和分级评价标准，确定地块重金属污染等级。</w:t>
      </w:r>
    </w:p>
    <w:p w14:paraId="77513501" w14:textId="77777777" w:rsidR="00BA1C4E" w:rsidRDefault="008E428B">
      <w:pPr>
        <w:pStyle w:val="aff4"/>
        <w:rPr>
          <w:rFonts w:ascii="Times New Roman"/>
        </w:rPr>
      </w:pPr>
      <w:r>
        <w:rPr>
          <w:rFonts w:ascii="Times New Roman" w:hint="eastAsia"/>
        </w:rPr>
        <w:lastRenderedPageBreak/>
        <w:t>对于受污染程度相似的场地土壤，综合考虑场地厂区的物理边界（如厂房、硬化路面等）、地块边界或权属边界等因素，原则上划分为同一类别，对于多重金属复合污染类型，以污染程度最高的重金属污染类别划分界定（表</w:t>
      </w:r>
      <w:r>
        <w:rPr>
          <w:rFonts w:ascii="Times New Roman" w:hint="eastAsia"/>
        </w:rPr>
        <w:t>1</w:t>
      </w:r>
      <w:r>
        <w:rPr>
          <w:rFonts w:ascii="Times New Roman" w:hint="eastAsia"/>
        </w:rPr>
        <w:t>）。根据最新土地利用类型变更情况、场地土壤环境质量的变化情况（如突发事件等导致的新增受污染场地或已完成治理的场地等），及时调整类别。</w:t>
      </w:r>
    </w:p>
    <w:p w14:paraId="016B68C5" w14:textId="77777777" w:rsidR="00BA1C4E" w:rsidRDefault="008E428B">
      <w:pPr>
        <w:pStyle w:val="af"/>
        <w:spacing w:before="156" w:after="156"/>
        <w:rPr>
          <w:color w:val="000000"/>
        </w:rPr>
      </w:pPr>
      <w:r>
        <w:rPr>
          <w:rFonts w:hint="eastAsia"/>
          <w:color w:val="000000"/>
        </w:rPr>
        <w:t>有色金属冶炼地块重金属污染程度分级评价标准</w:t>
      </w:r>
    </w:p>
    <w:tbl>
      <w:tblPr>
        <w:tblStyle w:val="15"/>
        <w:tblW w:w="9185" w:type="dxa"/>
        <w:jc w:val="center"/>
        <w:tblLook w:val="04A0" w:firstRow="1" w:lastRow="0" w:firstColumn="1" w:lastColumn="0" w:noHBand="0" w:noVBand="1"/>
      </w:tblPr>
      <w:tblGrid>
        <w:gridCol w:w="1356"/>
        <w:gridCol w:w="1630"/>
        <w:gridCol w:w="2491"/>
        <w:gridCol w:w="2376"/>
        <w:gridCol w:w="1332"/>
      </w:tblGrid>
      <w:tr w:rsidR="00BA1C4E" w14:paraId="58E286DA" w14:textId="77777777">
        <w:trPr>
          <w:trHeight w:val="216"/>
          <w:jc w:val="center"/>
        </w:trPr>
        <w:tc>
          <w:tcPr>
            <w:tcW w:w="1356" w:type="dxa"/>
            <w:vAlign w:val="center"/>
          </w:tcPr>
          <w:p w14:paraId="109EF55B" w14:textId="77777777" w:rsidR="00BA1C4E" w:rsidRPr="00E14476" w:rsidRDefault="008E428B">
            <w:pPr>
              <w:jc w:val="cente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污染土壤</w:t>
            </w:r>
          </w:p>
        </w:tc>
        <w:tc>
          <w:tcPr>
            <w:tcW w:w="1630" w:type="dxa"/>
            <w:vAlign w:val="center"/>
          </w:tcPr>
          <w:p w14:paraId="3D3768D8" w14:textId="77777777" w:rsidR="00BA1C4E" w:rsidRPr="00E14476" w:rsidRDefault="008E428B">
            <w:pPr>
              <w:jc w:val="cente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评价指标</w:t>
            </w:r>
          </w:p>
        </w:tc>
        <w:tc>
          <w:tcPr>
            <w:tcW w:w="2491" w:type="dxa"/>
            <w:vAlign w:val="center"/>
          </w:tcPr>
          <w:p w14:paraId="11BE0212" w14:textId="77777777" w:rsidR="00BA1C4E" w:rsidRPr="00E14476" w:rsidRDefault="008E428B">
            <w:pPr>
              <w:jc w:val="cente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相关指标数值、意义</w:t>
            </w:r>
          </w:p>
        </w:tc>
        <w:tc>
          <w:tcPr>
            <w:tcW w:w="2376" w:type="dxa"/>
            <w:vAlign w:val="center"/>
          </w:tcPr>
          <w:p w14:paraId="4162355F" w14:textId="77777777" w:rsidR="00BA1C4E" w:rsidRPr="00E14476" w:rsidRDefault="008E428B">
            <w:pPr>
              <w:jc w:val="cente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评价方法</w:t>
            </w:r>
          </w:p>
        </w:tc>
        <w:tc>
          <w:tcPr>
            <w:tcW w:w="1332" w:type="dxa"/>
            <w:vAlign w:val="center"/>
          </w:tcPr>
          <w:p w14:paraId="6FA64644" w14:textId="77777777" w:rsidR="00BA1C4E" w:rsidRPr="00E14476" w:rsidRDefault="008E428B">
            <w:pPr>
              <w:jc w:val="cente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污染程度评级</w:t>
            </w:r>
          </w:p>
        </w:tc>
      </w:tr>
      <w:tr w:rsidR="00BA1C4E" w14:paraId="2560A123" w14:textId="77777777">
        <w:trPr>
          <w:trHeight w:val="1376"/>
          <w:jc w:val="center"/>
        </w:trPr>
        <w:tc>
          <w:tcPr>
            <w:tcW w:w="1356" w:type="dxa"/>
            <w:vMerge w:val="restart"/>
            <w:vAlign w:val="center"/>
          </w:tcPr>
          <w:p w14:paraId="055C459F" w14:textId="6C638BF3" w:rsidR="00BA1C4E" w:rsidRPr="00E14476" w:rsidRDefault="008E428B" w:rsidP="00541878">
            <w:pP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超过</w:t>
            </w:r>
            <w:r w:rsidRPr="00E14476">
              <w:rPr>
                <w:rFonts w:ascii="Times New Roman" w:eastAsia="宋体" w:hAnsi="Times New Roman"/>
                <w:color w:val="000000" w:themeColor="text1"/>
                <w:sz w:val="18"/>
                <w:szCs w:val="18"/>
              </w:rPr>
              <w:t>GB 36600</w:t>
            </w:r>
            <w:r w:rsidRPr="00E14476">
              <w:rPr>
                <w:rFonts w:ascii="Times New Roman" w:eastAsia="宋体" w:hAnsi="Times New Roman"/>
                <w:color w:val="000000" w:themeColor="text1"/>
                <w:sz w:val="18"/>
                <w:szCs w:val="18"/>
              </w:rPr>
              <w:t>筛选值的重金属污染土壤</w:t>
            </w:r>
          </w:p>
        </w:tc>
        <w:tc>
          <w:tcPr>
            <w:tcW w:w="1630" w:type="dxa"/>
            <w:vMerge w:val="restart"/>
            <w:vAlign w:val="center"/>
          </w:tcPr>
          <w:p w14:paraId="3FE791DE" w14:textId="128CE811" w:rsidR="00BA1C4E" w:rsidRPr="00E14476" w:rsidRDefault="008E428B" w:rsidP="00541878">
            <w:pP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阳离子基于</w:t>
            </w:r>
            <w:r w:rsidRPr="00E14476">
              <w:rPr>
                <w:rFonts w:ascii="Times New Roman" w:eastAsia="宋体" w:hAnsi="Times New Roman"/>
                <w:color w:val="000000" w:themeColor="text1"/>
                <w:sz w:val="18"/>
                <w:szCs w:val="18"/>
              </w:rPr>
              <w:t>HJ/T</w:t>
            </w:r>
            <w:r w:rsidR="00C50FB3" w:rsidRPr="00E14476">
              <w:rPr>
                <w:rFonts w:ascii="Times New Roman" w:eastAsia="宋体" w:hAnsi="Times New Roman"/>
                <w:color w:val="000000" w:themeColor="text1"/>
                <w:sz w:val="18"/>
                <w:szCs w:val="18"/>
              </w:rPr>
              <w:t xml:space="preserve"> </w:t>
            </w:r>
            <w:r w:rsidRPr="00E14476">
              <w:rPr>
                <w:rFonts w:ascii="Times New Roman" w:eastAsia="宋体" w:hAnsi="Times New Roman"/>
                <w:color w:val="000000" w:themeColor="text1"/>
                <w:sz w:val="18"/>
                <w:szCs w:val="18"/>
              </w:rPr>
              <w:t>299</w:t>
            </w:r>
            <w:r w:rsidRPr="00E14476">
              <w:rPr>
                <w:rFonts w:ascii="Times New Roman" w:eastAsia="宋体" w:hAnsi="Times New Roman"/>
                <w:color w:val="000000" w:themeColor="text1"/>
                <w:sz w:val="18"/>
                <w:szCs w:val="18"/>
              </w:rPr>
              <w:t>或者阴离子</w:t>
            </w:r>
            <w:r w:rsidRPr="00E14476">
              <w:rPr>
                <w:rFonts w:ascii="Times New Roman" w:eastAsia="宋体" w:hAnsi="Times New Roman"/>
                <w:color w:val="000000" w:themeColor="text1"/>
                <w:sz w:val="18"/>
                <w:szCs w:val="18"/>
              </w:rPr>
              <w:t>HJ</w:t>
            </w:r>
            <w:r w:rsidR="00C50FB3" w:rsidRPr="00E14476">
              <w:rPr>
                <w:rFonts w:ascii="Times New Roman" w:eastAsia="宋体" w:hAnsi="Times New Roman"/>
                <w:color w:val="000000" w:themeColor="text1"/>
                <w:sz w:val="18"/>
                <w:szCs w:val="18"/>
              </w:rPr>
              <w:t xml:space="preserve"> </w:t>
            </w:r>
            <w:r w:rsidRPr="00E14476">
              <w:rPr>
                <w:rFonts w:ascii="Times New Roman" w:eastAsia="宋体" w:hAnsi="Times New Roman"/>
                <w:color w:val="000000" w:themeColor="text1"/>
                <w:sz w:val="18"/>
                <w:szCs w:val="18"/>
              </w:rPr>
              <w:t>557</w:t>
            </w:r>
            <w:r w:rsidRPr="00E14476">
              <w:rPr>
                <w:rFonts w:ascii="Times New Roman" w:eastAsia="宋体" w:hAnsi="Times New Roman"/>
                <w:color w:val="000000" w:themeColor="text1"/>
                <w:sz w:val="18"/>
                <w:szCs w:val="18"/>
              </w:rPr>
              <w:t>的浸出毒性水质评价</w:t>
            </w:r>
          </w:p>
        </w:tc>
        <w:tc>
          <w:tcPr>
            <w:tcW w:w="2491" w:type="dxa"/>
            <w:vMerge w:val="restart"/>
            <w:vAlign w:val="center"/>
          </w:tcPr>
          <w:p w14:paraId="31D3D8D3" w14:textId="6EE6B84B" w:rsidR="00BA1C4E" w:rsidRPr="00E14476" w:rsidRDefault="008E428B" w:rsidP="00900944">
            <w:pP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根据地块周边影响介质，选择与国家相应标准</w:t>
            </w:r>
            <w:r w:rsidRPr="00E14476">
              <w:rPr>
                <w:rFonts w:ascii="Times New Roman" w:eastAsia="宋体" w:hAnsi="Times New Roman"/>
                <w:color w:val="000000" w:themeColor="text1"/>
                <w:sz w:val="18"/>
                <w:szCs w:val="18"/>
              </w:rPr>
              <w:t>GB</w:t>
            </w:r>
            <w:r w:rsidR="00900944" w:rsidRPr="00E14476">
              <w:rPr>
                <w:rFonts w:ascii="Times New Roman" w:eastAsia="宋体" w:hAnsi="Times New Roman"/>
                <w:color w:val="000000" w:themeColor="text1"/>
                <w:sz w:val="18"/>
                <w:szCs w:val="18"/>
              </w:rPr>
              <w:t xml:space="preserve"> </w:t>
            </w:r>
            <w:r w:rsidRPr="00E14476">
              <w:rPr>
                <w:rFonts w:ascii="Times New Roman" w:eastAsia="宋体" w:hAnsi="Times New Roman"/>
                <w:color w:val="000000" w:themeColor="text1"/>
                <w:sz w:val="18"/>
                <w:szCs w:val="18"/>
              </w:rPr>
              <w:t>3838</w:t>
            </w:r>
            <w:r w:rsidRPr="00E14476">
              <w:rPr>
                <w:rFonts w:ascii="Times New Roman" w:eastAsia="宋体" w:hAnsi="Times New Roman"/>
                <w:color w:val="000000" w:themeColor="text1"/>
                <w:sz w:val="18"/>
                <w:szCs w:val="18"/>
              </w:rPr>
              <w:t>或</w:t>
            </w:r>
            <w:r w:rsidR="00C50FB3" w:rsidRPr="00E14476">
              <w:rPr>
                <w:rFonts w:ascii="Times New Roman" w:eastAsia="宋体" w:hAnsi="Times New Roman"/>
                <w:color w:val="000000" w:themeColor="text1"/>
                <w:sz w:val="18"/>
                <w:szCs w:val="18"/>
              </w:rPr>
              <w:t xml:space="preserve">GB/T </w:t>
            </w:r>
            <w:r w:rsidRPr="00E14476">
              <w:rPr>
                <w:rFonts w:ascii="Times New Roman" w:eastAsia="宋体" w:hAnsi="Times New Roman"/>
                <w:color w:val="000000" w:themeColor="text1"/>
                <w:sz w:val="18"/>
                <w:szCs w:val="18"/>
              </w:rPr>
              <w:t>14848</w:t>
            </w:r>
            <w:r w:rsidR="00900944" w:rsidRPr="00E14476">
              <w:rPr>
                <w:rFonts w:ascii="Times New Roman" w:eastAsia="宋体" w:hAnsi="Times New Roman"/>
                <w:color w:val="000000" w:themeColor="text1"/>
                <w:sz w:val="18"/>
                <w:szCs w:val="18"/>
              </w:rPr>
              <w:t>的</w:t>
            </w:r>
            <w:r w:rsidRPr="00E14476">
              <w:rPr>
                <w:rFonts w:ascii="Times New Roman" w:eastAsia="宋体" w:hAnsi="Times New Roman"/>
                <w:color w:val="000000" w:themeColor="text1"/>
                <w:sz w:val="18"/>
                <w:szCs w:val="18"/>
              </w:rPr>
              <w:t xml:space="preserve"> Ⅳ</w:t>
            </w:r>
            <w:r w:rsidRPr="00E14476">
              <w:rPr>
                <w:rFonts w:ascii="Times New Roman" w:eastAsia="宋体" w:hAnsi="Times New Roman"/>
                <w:color w:val="000000" w:themeColor="text1"/>
                <w:sz w:val="18"/>
                <w:szCs w:val="18"/>
              </w:rPr>
              <w:t>类指标比对，超过限定值即超标。</w:t>
            </w:r>
          </w:p>
        </w:tc>
        <w:tc>
          <w:tcPr>
            <w:tcW w:w="2376" w:type="dxa"/>
            <w:vAlign w:val="center"/>
          </w:tcPr>
          <w:p w14:paraId="2731F510" w14:textId="77777777" w:rsidR="00BA1C4E" w:rsidRPr="00E14476" w:rsidRDefault="008E428B">
            <w:pP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水质评价未超标以及人体健康风险评价指数均未存在风险。</w:t>
            </w:r>
          </w:p>
        </w:tc>
        <w:tc>
          <w:tcPr>
            <w:tcW w:w="1332" w:type="dxa"/>
            <w:vAlign w:val="center"/>
          </w:tcPr>
          <w:p w14:paraId="42933B8E" w14:textId="77777777" w:rsidR="00BA1C4E" w:rsidRPr="00E14476" w:rsidRDefault="008E428B">
            <w:pPr>
              <w:jc w:val="cente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轻度</w:t>
            </w:r>
          </w:p>
        </w:tc>
      </w:tr>
      <w:tr w:rsidR="00BA1C4E" w14:paraId="51947F39" w14:textId="77777777">
        <w:trPr>
          <w:trHeight w:val="411"/>
          <w:jc w:val="center"/>
        </w:trPr>
        <w:tc>
          <w:tcPr>
            <w:tcW w:w="1356" w:type="dxa"/>
            <w:vMerge/>
            <w:vAlign w:val="center"/>
          </w:tcPr>
          <w:p w14:paraId="07127A6F" w14:textId="77777777" w:rsidR="00BA1C4E" w:rsidRPr="00E14476" w:rsidRDefault="00BA1C4E">
            <w:pPr>
              <w:rPr>
                <w:rFonts w:ascii="Times New Roman" w:eastAsia="宋体" w:hAnsi="Times New Roman"/>
                <w:color w:val="000000" w:themeColor="text1"/>
                <w:sz w:val="18"/>
                <w:szCs w:val="18"/>
              </w:rPr>
            </w:pPr>
          </w:p>
        </w:tc>
        <w:tc>
          <w:tcPr>
            <w:tcW w:w="1630" w:type="dxa"/>
            <w:vMerge/>
            <w:vAlign w:val="center"/>
          </w:tcPr>
          <w:p w14:paraId="6AEFA912" w14:textId="77777777" w:rsidR="00BA1C4E" w:rsidRPr="00E14476" w:rsidRDefault="00BA1C4E">
            <w:pPr>
              <w:rPr>
                <w:rFonts w:ascii="Times New Roman" w:eastAsia="宋体" w:hAnsi="Times New Roman"/>
                <w:color w:val="000000" w:themeColor="text1"/>
                <w:sz w:val="18"/>
                <w:szCs w:val="18"/>
              </w:rPr>
            </w:pPr>
          </w:p>
        </w:tc>
        <w:tc>
          <w:tcPr>
            <w:tcW w:w="2491" w:type="dxa"/>
            <w:vMerge/>
            <w:vAlign w:val="center"/>
          </w:tcPr>
          <w:p w14:paraId="073612F3" w14:textId="77777777" w:rsidR="00BA1C4E" w:rsidRPr="00E14476" w:rsidRDefault="00BA1C4E">
            <w:pPr>
              <w:rPr>
                <w:rFonts w:ascii="Times New Roman" w:eastAsia="宋体" w:hAnsi="Times New Roman"/>
                <w:color w:val="000000" w:themeColor="text1"/>
                <w:sz w:val="18"/>
                <w:szCs w:val="18"/>
              </w:rPr>
            </w:pPr>
          </w:p>
        </w:tc>
        <w:tc>
          <w:tcPr>
            <w:tcW w:w="2376" w:type="dxa"/>
            <w:vMerge w:val="restart"/>
            <w:vAlign w:val="center"/>
          </w:tcPr>
          <w:p w14:paraId="4081AE0C" w14:textId="77777777" w:rsidR="00BA1C4E" w:rsidRPr="00E14476" w:rsidRDefault="008E428B">
            <w:pP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各指数介于轻度和重度之间的可能情况。</w:t>
            </w:r>
          </w:p>
        </w:tc>
        <w:tc>
          <w:tcPr>
            <w:tcW w:w="1332" w:type="dxa"/>
            <w:vMerge w:val="restart"/>
            <w:vAlign w:val="center"/>
          </w:tcPr>
          <w:p w14:paraId="49FEDDEC" w14:textId="77777777" w:rsidR="00BA1C4E" w:rsidRPr="00E14476" w:rsidRDefault="008E428B">
            <w:pPr>
              <w:jc w:val="cente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中度</w:t>
            </w:r>
          </w:p>
        </w:tc>
      </w:tr>
      <w:tr w:rsidR="00BA1C4E" w14:paraId="14B483D3" w14:textId="77777777">
        <w:trPr>
          <w:trHeight w:val="443"/>
          <w:jc w:val="center"/>
        </w:trPr>
        <w:tc>
          <w:tcPr>
            <w:tcW w:w="1356" w:type="dxa"/>
            <w:vMerge/>
            <w:vAlign w:val="center"/>
          </w:tcPr>
          <w:p w14:paraId="48E19B67" w14:textId="77777777" w:rsidR="00BA1C4E" w:rsidRPr="00E14476" w:rsidRDefault="00BA1C4E">
            <w:pPr>
              <w:rPr>
                <w:rFonts w:ascii="Times New Roman" w:eastAsia="宋体" w:hAnsi="Times New Roman"/>
                <w:color w:val="000000" w:themeColor="text1"/>
                <w:sz w:val="18"/>
                <w:szCs w:val="18"/>
              </w:rPr>
            </w:pPr>
          </w:p>
        </w:tc>
        <w:tc>
          <w:tcPr>
            <w:tcW w:w="1630" w:type="dxa"/>
            <w:vMerge w:val="restart"/>
            <w:vAlign w:val="center"/>
          </w:tcPr>
          <w:p w14:paraId="12139543" w14:textId="77777777" w:rsidR="00BA1C4E" w:rsidRPr="00E14476" w:rsidRDefault="008E428B">
            <w:pP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基于</w:t>
            </w:r>
            <w:r w:rsidRPr="00E14476">
              <w:rPr>
                <w:rFonts w:ascii="Times New Roman" w:eastAsia="宋体" w:hAnsi="Times New Roman"/>
                <w:color w:val="000000" w:themeColor="text1"/>
                <w:sz w:val="18"/>
                <w:szCs w:val="18"/>
              </w:rPr>
              <w:t>SBET</w:t>
            </w:r>
            <w:r w:rsidRPr="00E14476">
              <w:rPr>
                <w:rFonts w:ascii="Times New Roman" w:eastAsia="宋体" w:hAnsi="Times New Roman"/>
                <w:color w:val="000000" w:themeColor="text1"/>
                <w:sz w:val="18"/>
                <w:szCs w:val="18"/>
              </w:rPr>
              <w:t>提取的人体健康风险评价（致癌和非致癌健康风险指数）</w:t>
            </w:r>
          </w:p>
        </w:tc>
        <w:tc>
          <w:tcPr>
            <w:tcW w:w="2491" w:type="dxa"/>
            <w:vMerge w:val="restart"/>
            <w:vAlign w:val="center"/>
          </w:tcPr>
          <w:p w14:paraId="1451F2D3" w14:textId="77777777" w:rsidR="00BA1C4E" w:rsidRPr="00E14476" w:rsidRDefault="008E428B">
            <w:pP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开展经口摄入途径的非致癌健康风险评价（</w:t>
            </w:r>
            <w:r w:rsidRPr="00E14476">
              <w:rPr>
                <w:rFonts w:ascii="Times New Roman" w:eastAsia="宋体" w:hAnsi="Times New Roman"/>
                <w:color w:val="000000" w:themeColor="text1"/>
                <w:sz w:val="18"/>
                <w:szCs w:val="18"/>
              </w:rPr>
              <w:t>1</w:t>
            </w:r>
            <w:r w:rsidRPr="00E14476">
              <w:rPr>
                <w:rFonts w:ascii="Times New Roman" w:eastAsia="宋体" w:hAnsi="Times New Roman"/>
                <w:color w:val="000000" w:themeColor="text1"/>
                <w:sz w:val="18"/>
                <w:szCs w:val="18"/>
              </w:rPr>
              <w:t>）和致癌健康风险评价（</w:t>
            </w:r>
            <w:r w:rsidRPr="00E14476">
              <w:rPr>
                <w:rFonts w:ascii="Times New Roman" w:eastAsia="宋体" w:hAnsi="Times New Roman"/>
                <w:color w:val="000000" w:themeColor="text1"/>
                <w:sz w:val="18"/>
                <w:szCs w:val="18"/>
              </w:rPr>
              <w:t>10</w:t>
            </w:r>
            <w:r w:rsidRPr="00E14476">
              <w:rPr>
                <w:rFonts w:ascii="Times New Roman" w:eastAsia="宋体" w:hAnsi="Times New Roman"/>
                <w:color w:val="000000" w:themeColor="text1"/>
                <w:sz w:val="18"/>
                <w:szCs w:val="18"/>
                <w:vertAlign w:val="superscript"/>
              </w:rPr>
              <w:t>-4</w:t>
            </w:r>
            <w:r w:rsidRPr="00E14476">
              <w:rPr>
                <w:rFonts w:ascii="Times New Roman" w:eastAsia="宋体" w:hAnsi="Times New Roman"/>
                <w:color w:val="000000" w:themeColor="text1"/>
                <w:sz w:val="18"/>
                <w:szCs w:val="18"/>
              </w:rPr>
              <w:t>），若大于限定值则认为存在风险。</w:t>
            </w:r>
          </w:p>
        </w:tc>
        <w:tc>
          <w:tcPr>
            <w:tcW w:w="2376" w:type="dxa"/>
            <w:vMerge/>
            <w:vAlign w:val="center"/>
          </w:tcPr>
          <w:p w14:paraId="26DD4712" w14:textId="77777777" w:rsidR="00BA1C4E" w:rsidRPr="00E14476" w:rsidRDefault="00BA1C4E">
            <w:pPr>
              <w:rPr>
                <w:rFonts w:ascii="Times New Roman" w:eastAsia="宋体" w:hAnsi="Times New Roman"/>
                <w:color w:val="000000" w:themeColor="text1"/>
                <w:sz w:val="18"/>
                <w:szCs w:val="18"/>
              </w:rPr>
            </w:pPr>
          </w:p>
        </w:tc>
        <w:tc>
          <w:tcPr>
            <w:tcW w:w="1332" w:type="dxa"/>
            <w:vMerge/>
            <w:vAlign w:val="center"/>
          </w:tcPr>
          <w:p w14:paraId="11FC3CC8" w14:textId="77777777" w:rsidR="00BA1C4E" w:rsidRPr="00E14476" w:rsidRDefault="00BA1C4E">
            <w:pPr>
              <w:jc w:val="center"/>
              <w:rPr>
                <w:rFonts w:ascii="Times New Roman" w:eastAsia="宋体" w:hAnsi="Times New Roman"/>
                <w:color w:val="000000" w:themeColor="text1"/>
                <w:sz w:val="18"/>
                <w:szCs w:val="18"/>
              </w:rPr>
            </w:pPr>
          </w:p>
        </w:tc>
      </w:tr>
      <w:tr w:rsidR="00BA1C4E" w14:paraId="58A9CBF0" w14:textId="77777777">
        <w:trPr>
          <w:trHeight w:val="1048"/>
          <w:jc w:val="center"/>
        </w:trPr>
        <w:tc>
          <w:tcPr>
            <w:tcW w:w="1356" w:type="dxa"/>
            <w:vMerge/>
            <w:vAlign w:val="center"/>
          </w:tcPr>
          <w:p w14:paraId="6C31EDD9" w14:textId="77777777" w:rsidR="00BA1C4E" w:rsidRPr="00E14476" w:rsidRDefault="00BA1C4E">
            <w:pPr>
              <w:rPr>
                <w:rFonts w:ascii="Times New Roman" w:eastAsia="宋体" w:hAnsi="Times New Roman"/>
                <w:color w:val="000000" w:themeColor="text1"/>
                <w:sz w:val="18"/>
                <w:szCs w:val="18"/>
              </w:rPr>
            </w:pPr>
          </w:p>
        </w:tc>
        <w:tc>
          <w:tcPr>
            <w:tcW w:w="1630" w:type="dxa"/>
            <w:vMerge/>
            <w:vAlign w:val="center"/>
          </w:tcPr>
          <w:p w14:paraId="527E8083" w14:textId="77777777" w:rsidR="00BA1C4E" w:rsidRPr="00E14476" w:rsidRDefault="00BA1C4E">
            <w:pPr>
              <w:rPr>
                <w:rFonts w:ascii="Times New Roman" w:eastAsia="宋体" w:hAnsi="Times New Roman"/>
                <w:color w:val="000000" w:themeColor="text1"/>
                <w:sz w:val="18"/>
                <w:szCs w:val="18"/>
              </w:rPr>
            </w:pPr>
          </w:p>
        </w:tc>
        <w:tc>
          <w:tcPr>
            <w:tcW w:w="2491" w:type="dxa"/>
            <w:vMerge/>
            <w:vAlign w:val="center"/>
          </w:tcPr>
          <w:p w14:paraId="5A1503F8" w14:textId="77777777" w:rsidR="00BA1C4E" w:rsidRPr="00E14476" w:rsidRDefault="00BA1C4E">
            <w:pPr>
              <w:rPr>
                <w:rFonts w:ascii="Times New Roman" w:eastAsia="宋体" w:hAnsi="Times New Roman"/>
                <w:color w:val="000000" w:themeColor="text1"/>
                <w:sz w:val="18"/>
                <w:szCs w:val="18"/>
              </w:rPr>
            </w:pPr>
          </w:p>
        </w:tc>
        <w:tc>
          <w:tcPr>
            <w:tcW w:w="2376" w:type="dxa"/>
            <w:vAlign w:val="center"/>
          </w:tcPr>
          <w:p w14:paraId="73462DE3" w14:textId="77777777" w:rsidR="00BA1C4E" w:rsidRPr="00E14476" w:rsidRDefault="008E428B">
            <w:pP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水质评价超标且人体健康风险评价指数（至少有一项）均存在风险。</w:t>
            </w:r>
          </w:p>
        </w:tc>
        <w:tc>
          <w:tcPr>
            <w:tcW w:w="1332" w:type="dxa"/>
            <w:vAlign w:val="center"/>
          </w:tcPr>
          <w:p w14:paraId="665B53C6" w14:textId="77777777" w:rsidR="00BA1C4E" w:rsidRPr="00E14476" w:rsidRDefault="008E428B">
            <w:pPr>
              <w:jc w:val="center"/>
              <w:rPr>
                <w:rFonts w:ascii="Times New Roman" w:eastAsia="宋体" w:hAnsi="Times New Roman"/>
                <w:color w:val="000000" w:themeColor="text1"/>
                <w:sz w:val="18"/>
                <w:szCs w:val="18"/>
              </w:rPr>
            </w:pPr>
            <w:r w:rsidRPr="00E14476">
              <w:rPr>
                <w:rFonts w:ascii="Times New Roman" w:eastAsia="宋体" w:hAnsi="Times New Roman"/>
                <w:color w:val="000000" w:themeColor="text1"/>
                <w:sz w:val="18"/>
                <w:szCs w:val="18"/>
              </w:rPr>
              <w:t>重度</w:t>
            </w:r>
          </w:p>
        </w:tc>
      </w:tr>
    </w:tbl>
    <w:p w14:paraId="05019D71" w14:textId="77777777" w:rsidR="00BA1C4E" w:rsidRDefault="008E428B">
      <w:pPr>
        <w:pStyle w:val="a0"/>
        <w:spacing w:before="312" w:after="312"/>
        <w:rPr>
          <w:color w:val="000000"/>
        </w:rPr>
      </w:pPr>
      <w:bookmarkStart w:id="194" w:name="_Toc140993874"/>
      <w:r>
        <w:rPr>
          <w:rFonts w:hint="eastAsia"/>
          <w:color w:val="000000"/>
        </w:rPr>
        <w:t>分级治理技术体系</w:t>
      </w:r>
      <w:bookmarkEnd w:id="194"/>
    </w:p>
    <w:p w14:paraId="2A01B711" w14:textId="77777777" w:rsidR="00BA1C4E" w:rsidRDefault="008E428B">
      <w:pPr>
        <w:pStyle w:val="a1"/>
        <w:spacing w:before="156" w:after="156"/>
        <w:ind w:left="0"/>
        <w:rPr>
          <w:color w:val="000000"/>
        </w:rPr>
      </w:pPr>
      <w:bookmarkStart w:id="195" w:name="_Toc140993875"/>
      <w:r>
        <w:rPr>
          <w:rFonts w:hint="eastAsia"/>
          <w:color w:val="000000"/>
        </w:rPr>
        <w:t>可行性治理技术</w:t>
      </w:r>
      <w:bookmarkEnd w:id="195"/>
    </w:p>
    <w:p w14:paraId="1ED8D7CD" w14:textId="77777777" w:rsidR="00BA1C4E" w:rsidRDefault="008E428B">
      <w:pPr>
        <w:pStyle w:val="aff4"/>
        <w:rPr>
          <w:rFonts w:ascii="Times New Roman"/>
        </w:rPr>
      </w:pPr>
      <w:r>
        <w:rPr>
          <w:rFonts w:ascii="Times New Roman" w:hint="eastAsia"/>
        </w:rPr>
        <w:t>有色金属冶炼污染场地的类别主要有铜冶炼、铅冶炼、锌冶炼、镍冶炼、铬冶炼、锑冶炼、汞冶炼、铝冶炼。除去铝冶炼外，其余场地多为重金属复合污染，由于生产工艺和厂区布局的差异，污染特征有所不同，涉及的主要重金属类型包括铜、锌、铅、镉、铬、镍、砷、汞、锑等。</w:t>
      </w:r>
    </w:p>
    <w:p w14:paraId="7FDB9807" w14:textId="6F30CDC7" w:rsidR="00BA1C4E" w:rsidRDefault="008E428B">
      <w:pPr>
        <w:pStyle w:val="aff4"/>
        <w:rPr>
          <w:rFonts w:ascii="Times New Roman"/>
        </w:rPr>
      </w:pPr>
      <w:r>
        <w:rPr>
          <w:rFonts w:ascii="Times New Roman" w:hint="eastAsia"/>
        </w:rPr>
        <w:t>基于地块修复目标，按照“环境修复</w:t>
      </w:r>
      <w:r>
        <w:rPr>
          <w:rFonts w:ascii="Times New Roman" w:hint="eastAsia"/>
        </w:rPr>
        <w:t>+</w:t>
      </w:r>
      <w:r>
        <w:rPr>
          <w:rFonts w:ascii="Times New Roman" w:hint="eastAsia"/>
        </w:rPr>
        <w:t>开发建设”的总体要求，针对有色金属冶炼地块土壤重金属污染分级类别、场地条件、污染特征，根据各项技术措施的成熟度、适用条件、修复效果、成本、时间和环境安全性等因素推荐主流管控技术</w:t>
      </w:r>
      <w:r>
        <w:rPr>
          <w:rFonts w:ascii="Times New Roman" w:hint="eastAsia"/>
        </w:rPr>
        <w:t>4</w:t>
      </w:r>
      <w:r>
        <w:rPr>
          <w:rFonts w:ascii="Times New Roman" w:hint="eastAsia"/>
        </w:rPr>
        <w:t>项（植被生态恢复技术、土壤稳定化技术（包括原位</w:t>
      </w:r>
      <w:r>
        <w:rPr>
          <w:rFonts w:ascii="Times New Roman" w:hint="eastAsia"/>
        </w:rPr>
        <w:t>/</w:t>
      </w:r>
      <w:r>
        <w:rPr>
          <w:rFonts w:ascii="Times New Roman" w:hint="eastAsia"/>
        </w:rPr>
        <w:t>异位）、土壤固化技术（包括原位</w:t>
      </w:r>
      <w:r>
        <w:rPr>
          <w:rFonts w:ascii="Times New Roman" w:hint="eastAsia"/>
        </w:rPr>
        <w:t>/</w:t>
      </w:r>
      <w:r>
        <w:rPr>
          <w:rFonts w:ascii="Times New Roman" w:hint="eastAsia"/>
        </w:rPr>
        <w:t>异位）</w:t>
      </w:r>
      <w:r w:rsidR="00A26E8A">
        <w:rPr>
          <w:rFonts w:ascii="Times New Roman" w:hint="eastAsia"/>
        </w:rPr>
        <w:t>以及</w:t>
      </w:r>
      <w:r>
        <w:rPr>
          <w:rFonts w:ascii="Times New Roman" w:hint="eastAsia"/>
        </w:rPr>
        <w:t>土壤阻隔填埋技术）和修复技术</w:t>
      </w:r>
      <w:r>
        <w:rPr>
          <w:rFonts w:ascii="Times New Roman" w:hint="eastAsia"/>
        </w:rPr>
        <w:t>2</w:t>
      </w:r>
      <w:r>
        <w:rPr>
          <w:rFonts w:ascii="Times New Roman" w:hint="eastAsia"/>
        </w:rPr>
        <w:t>项（化学还原技术（包括原位</w:t>
      </w:r>
      <w:r>
        <w:rPr>
          <w:rFonts w:ascii="Times New Roman" w:hint="eastAsia"/>
        </w:rPr>
        <w:t>/</w:t>
      </w:r>
      <w:r>
        <w:rPr>
          <w:rFonts w:ascii="Times New Roman" w:hint="eastAsia"/>
        </w:rPr>
        <w:t>异位）和异位土壤洗脱技术），作为有色冶炼地块不同污染程度土壤的分级治理技术体系的备选技术。</w:t>
      </w:r>
    </w:p>
    <w:p w14:paraId="26644C77" w14:textId="77777777" w:rsidR="00BA1C4E" w:rsidRDefault="008E428B">
      <w:pPr>
        <w:pStyle w:val="aff4"/>
        <w:rPr>
          <w:rFonts w:ascii="Times New Roman"/>
          <w:b/>
          <w:color w:val="FF0000"/>
        </w:rPr>
      </w:pPr>
      <w:r>
        <w:rPr>
          <w:rFonts w:ascii="Times New Roman" w:hint="eastAsia"/>
        </w:rPr>
        <w:t>技术规范中列出的备选技术是基于目前国内外修复场地的实际案例应用列出的，并且参考我国污染场地修复技术目录。实际场地修复大都存在多种污染物以及不同污染程度共存的情况，具体修复方案的制定应根据实际状况选择一种或多种技术的组合进行处理。</w:t>
      </w:r>
    </w:p>
    <w:p w14:paraId="70D637E3" w14:textId="77777777" w:rsidR="00BA1C4E" w:rsidRDefault="008E428B">
      <w:pPr>
        <w:pStyle w:val="a1"/>
        <w:numPr>
          <w:ilvl w:val="0"/>
          <w:numId w:val="0"/>
        </w:numPr>
        <w:spacing w:before="156" w:after="156"/>
        <w:rPr>
          <w:color w:val="000000"/>
        </w:rPr>
      </w:pPr>
      <w:bookmarkStart w:id="196" w:name="_Toc140993876"/>
      <w:r>
        <w:rPr>
          <w:rFonts w:hint="eastAsia"/>
          <w:color w:val="000000"/>
        </w:rPr>
        <w:t>7.1.1  植被生态恢复技术</w:t>
      </w:r>
      <w:bookmarkEnd w:id="196"/>
    </w:p>
    <w:p w14:paraId="3985E426" w14:textId="1EDB4FE1" w:rsidR="00BA1C4E" w:rsidRDefault="008E428B" w:rsidP="000E14AC">
      <w:pPr>
        <w:adjustRightInd w:val="0"/>
        <w:ind w:firstLineChars="200" w:firstLine="420"/>
        <w:rPr>
          <w:kern w:val="0"/>
          <w:szCs w:val="20"/>
        </w:rPr>
      </w:pPr>
      <w:r>
        <w:rPr>
          <w:rFonts w:hint="eastAsia"/>
          <w:kern w:val="0"/>
          <w:szCs w:val="20"/>
        </w:rPr>
        <w:t>在工程建设中采用相关的生态植物（如不同乔、灌、草、藤等），在特定环境条件下混合配置后，对开挖或填方所形成的地块进行植被恢复的一种综合技术应用方案，减少重金属被淋滤到地下水或通过空气扩散进一步污染环境的可能性。</w:t>
      </w:r>
    </w:p>
    <w:p w14:paraId="608E4EC8" w14:textId="77777777" w:rsidR="00BA1C4E" w:rsidRPr="003B7609" w:rsidRDefault="008E428B" w:rsidP="003B7609">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 xml:space="preserve">7.1.1.1  </w:t>
      </w:r>
      <w:r>
        <w:rPr>
          <w:rFonts w:ascii="黑体" w:eastAsia="黑体"/>
          <w:color w:val="000000"/>
          <w:kern w:val="0"/>
          <w:szCs w:val="21"/>
        </w:rPr>
        <w:t>适用条件及</w:t>
      </w:r>
      <w:r>
        <w:rPr>
          <w:rFonts w:ascii="黑体" w:eastAsia="黑体" w:hint="eastAsia"/>
          <w:color w:val="000000"/>
          <w:kern w:val="0"/>
          <w:szCs w:val="21"/>
        </w:rPr>
        <w:t>特</w:t>
      </w:r>
      <w:r>
        <w:rPr>
          <w:rFonts w:ascii="黑体" w:eastAsia="黑体"/>
          <w:color w:val="000000"/>
          <w:kern w:val="0"/>
          <w:szCs w:val="21"/>
        </w:rPr>
        <w:t>点</w:t>
      </w:r>
      <w:r>
        <w:rPr>
          <w:rFonts w:ascii="黑体" w:eastAsia="黑体" w:hint="eastAsia"/>
          <w:color w:val="000000"/>
          <w:kern w:val="0"/>
          <w:szCs w:val="21"/>
        </w:rPr>
        <w:t xml:space="preserve"> </w:t>
      </w:r>
    </w:p>
    <w:p w14:paraId="4E714BB6" w14:textId="77777777" w:rsidR="00BA1C4E" w:rsidRDefault="008E428B">
      <w:pPr>
        <w:adjustRightInd w:val="0"/>
        <w:ind w:firstLineChars="200" w:firstLine="420"/>
        <w:rPr>
          <w:kern w:val="0"/>
          <w:szCs w:val="20"/>
        </w:rPr>
      </w:pPr>
      <w:r>
        <w:rPr>
          <w:kern w:val="0"/>
          <w:szCs w:val="20"/>
        </w:rPr>
        <w:t>适用于以景观</w:t>
      </w:r>
      <w:r>
        <w:rPr>
          <w:rFonts w:hint="eastAsia"/>
          <w:kern w:val="0"/>
          <w:szCs w:val="20"/>
        </w:rPr>
        <w:t>绿</w:t>
      </w:r>
      <w:r>
        <w:rPr>
          <w:kern w:val="0"/>
          <w:szCs w:val="20"/>
        </w:rPr>
        <w:t>地为用途的冶炼地块重金属</w:t>
      </w:r>
      <w:r>
        <w:rPr>
          <w:rFonts w:hint="eastAsia"/>
          <w:kern w:val="0"/>
          <w:szCs w:val="20"/>
        </w:rPr>
        <w:t>轻中度</w:t>
      </w:r>
      <w:r>
        <w:rPr>
          <w:kern w:val="0"/>
          <w:szCs w:val="20"/>
        </w:rPr>
        <w:t>污染土壤</w:t>
      </w:r>
      <w:r>
        <w:rPr>
          <w:rFonts w:hint="eastAsia"/>
          <w:kern w:val="0"/>
          <w:szCs w:val="20"/>
        </w:rPr>
        <w:t>。</w:t>
      </w:r>
      <w:r>
        <w:rPr>
          <w:kern w:val="0"/>
          <w:szCs w:val="20"/>
        </w:rPr>
        <w:t>此技术工艺操作简单</w:t>
      </w:r>
      <w:r>
        <w:rPr>
          <w:rFonts w:hint="eastAsia"/>
          <w:kern w:val="0"/>
          <w:szCs w:val="20"/>
        </w:rPr>
        <w:t>、应用范围广（各种重金属污染）、环境友好、成本低，不会破坏土壤的结构和性质，绿色低碳，原位性好。本技术不适用于污染物浓度过高或土壤理化性质严重破坏不适合植物生长的土壤。</w:t>
      </w:r>
    </w:p>
    <w:p w14:paraId="6B726506" w14:textId="77777777" w:rsidR="00BA1C4E" w:rsidRDefault="008E428B" w:rsidP="003B7609">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lastRenderedPageBreak/>
        <w:t>7.1.1.2  技术构成和主要设备</w:t>
      </w:r>
    </w:p>
    <w:p w14:paraId="1E9A8434" w14:textId="77777777" w:rsidR="00BA1C4E" w:rsidRDefault="008E428B">
      <w:pPr>
        <w:adjustRightInd w:val="0"/>
        <w:ind w:firstLineChars="200" w:firstLine="420"/>
        <w:rPr>
          <w:kern w:val="0"/>
          <w:szCs w:val="20"/>
        </w:rPr>
      </w:pPr>
      <w:r>
        <w:rPr>
          <w:rFonts w:hint="eastAsia"/>
          <w:kern w:val="0"/>
          <w:szCs w:val="20"/>
        </w:rPr>
        <w:t>主要由植物育苗、植物种植、管理与刈割系统、处理处置系统与再利用系统组成，辅以翻耕设备、灌溉设备以及施肥器械。</w:t>
      </w:r>
    </w:p>
    <w:p w14:paraId="28CE7D75" w14:textId="1DE56E6F" w:rsidR="00BA1C4E" w:rsidRDefault="008E428B" w:rsidP="006F2108">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7.1.1.</w:t>
      </w:r>
      <w:r w:rsidR="006F2108">
        <w:rPr>
          <w:rFonts w:ascii="黑体" w:eastAsia="黑体"/>
          <w:color w:val="000000"/>
          <w:kern w:val="0"/>
          <w:szCs w:val="21"/>
        </w:rPr>
        <w:t>3</w:t>
      </w:r>
      <w:r>
        <w:rPr>
          <w:rFonts w:ascii="黑体" w:eastAsia="黑体" w:hint="eastAsia"/>
          <w:color w:val="000000"/>
          <w:kern w:val="0"/>
          <w:szCs w:val="21"/>
        </w:rPr>
        <w:t xml:space="preserve">  关键技术参数或指标</w:t>
      </w:r>
    </w:p>
    <w:p w14:paraId="73C3D6AA" w14:textId="77777777" w:rsidR="00153F07" w:rsidRDefault="008E428B" w:rsidP="00153F07">
      <w:pPr>
        <w:pStyle w:val="afffffb"/>
        <w:adjustRightInd w:val="0"/>
        <w:rPr>
          <w:kern w:val="0"/>
          <w:szCs w:val="20"/>
        </w:rPr>
      </w:pPr>
      <w:r>
        <w:rPr>
          <w:rFonts w:hint="eastAsia"/>
          <w:kern w:val="0"/>
          <w:szCs w:val="20"/>
        </w:rPr>
        <w:t>a</w:t>
      </w:r>
      <w:r>
        <w:rPr>
          <w:kern w:val="0"/>
          <w:szCs w:val="20"/>
        </w:rPr>
        <w:t>)</w:t>
      </w:r>
      <w:r>
        <w:rPr>
          <w:rFonts w:hint="eastAsia"/>
          <w:kern w:val="0"/>
          <w:szCs w:val="20"/>
        </w:rPr>
        <w:t xml:space="preserve">  </w:t>
      </w:r>
      <w:r>
        <w:rPr>
          <w:rFonts w:hint="eastAsia"/>
          <w:kern w:val="0"/>
          <w:szCs w:val="20"/>
        </w:rPr>
        <w:t>充分考虑植物立地和养护管理条件，保证植被恢复所需的土壤养分含量、合适的</w:t>
      </w:r>
      <w:r>
        <w:rPr>
          <w:rFonts w:hint="eastAsia"/>
          <w:kern w:val="0"/>
          <w:szCs w:val="20"/>
        </w:rPr>
        <w:t>pH</w:t>
      </w:r>
      <w:r>
        <w:rPr>
          <w:rFonts w:hint="eastAsia"/>
          <w:kern w:val="0"/>
          <w:szCs w:val="20"/>
        </w:rPr>
        <w:t>值、土壤</w:t>
      </w:r>
      <w:r w:rsidR="00153F07">
        <w:rPr>
          <w:rFonts w:hint="eastAsia"/>
          <w:kern w:val="0"/>
          <w:szCs w:val="20"/>
        </w:rPr>
        <w:t>通气性、含水率以及气温条件等。</w:t>
      </w:r>
    </w:p>
    <w:p w14:paraId="3532F67F" w14:textId="77777777" w:rsidR="00BA1C4E" w:rsidRDefault="008E428B" w:rsidP="00153F07">
      <w:pPr>
        <w:pStyle w:val="afffffb"/>
        <w:adjustRightInd w:val="0"/>
        <w:rPr>
          <w:kern w:val="0"/>
          <w:szCs w:val="20"/>
        </w:rPr>
      </w:pPr>
      <w:r>
        <w:rPr>
          <w:rFonts w:hint="eastAsia"/>
          <w:kern w:val="0"/>
          <w:szCs w:val="20"/>
        </w:rPr>
        <w:t>b</w:t>
      </w:r>
      <w:r>
        <w:rPr>
          <w:kern w:val="0"/>
          <w:szCs w:val="20"/>
        </w:rPr>
        <w:t>)</w:t>
      </w:r>
      <w:r>
        <w:rPr>
          <w:rFonts w:hint="eastAsia"/>
          <w:kern w:val="0"/>
          <w:szCs w:val="20"/>
        </w:rPr>
        <w:t xml:space="preserve">  </w:t>
      </w:r>
      <w:r>
        <w:rPr>
          <w:rFonts w:hint="eastAsia"/>
          <w:kern w:val="0"/>
          <w:szCs w:val="20"/>
        </w:rPr>
        <w:t>关于植物品种选择要求方面，</w:t>
      </w:r>
      <w:r>
        <w:rPr>
          <w:kern w:val="0"/>
          <w:szCs w:val="20"/>
        </w:rPr>
        <w:t>因地制宜</w:t>
      </w:r>
      <w:r>
        <w:rPr>
          <w:rFonts w:hint="eastAsia"/>
          <w:kern w:val="0"/>
          <w:szCs w:val="20"/>
        </w:rPr>
        <w:t>选择适生植物，使用较多的生物物种，特别是将乔、灌、草、藤多层次配置结合起来进行植被恢复，建立起的植物群落的稳定性和可持续性。尽可能选择适宜的乡土物种，适应能力强，生长稳定，植物品种具有一定的抗逆性（抗旱、抗寒、耐瘠薄、耐高温）。另外，选择生长迅速的先锋植物，尽快实现植被覆盖和固土作用。</w:t>
      </w:r>
    </w:p>
    <w:p w14:paraId="7F274571" w14:textId="77777777" w:rsidR="00BA1C4E" w:rsidRDefault="008E428B">
      <w:pPr>
        <w:pStyle w:val="a1"/>
        <w:numPr>
          <w:ilvl w:val="0"/>
          <w:numId w:val="0"/>
        </w:numPr>
        <w:spacing w:before="156" w:after="156"/>
        <w:rPr>
          <w:color w:val="000000"/>
        </w:rPr>
      </w:pPr>
      <w:bookmarkStart w:id="197" w:name="_Toc140993877"/>
      <w:r>
        <w:rPr>
          <w:rFonts w:hint="eastAsia"/>
          <w:color w:val="000000"/>
        </w:rPr>
        <w:t>7.1.2  土壤稳定化技术</w:t>
      </w:r>
      <w:bookmarkEnd w:id="197"/>
    </w:p>
    <w:p w14:paraId="20A0020E" w14:textId="77777777" w:rsidR="00BA1C4E" w:rsidRDefault="008E428B">
      <w:pPr>
        <w:adjustRightInd w:val="0"/>
        <w:ind w:firstLineChars="200" w:firstLine="420"/>
        <w:rPr>
          <w:kern w:val="0"/>
          <w:szCs w:val="20"/>
        </w:rPr>
      </w:pPr>
      <w:r>
        <w:rPr>
          <w:rFonts w:hint="eastAsia"/>
          <w:kern w:val="0"/>
          <w:szCs w:val="20"/>
        </w:rPr>
        <w:t>稳定化技术通过加入稳定材料诱导重金属的化学反应（沉淀、表面沉淀、共沉淀、离子交换、表面吸附等），将污染物转化成化学性质不活泼形态，降低污染物在环境中的迁移和扩散。</w:t>
      </w:r>
    </w:p>
    <w:p w14:paraId="357B8C42" w14:textId="77777777" w:rsidR="00BA1C4E" w:rsidRDefault="008E428B" w:rsidP="006F2108">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 xml:space="preserve">7.1.2.1  </w:t>
      </w:r>
      <w:r>
        <w:rPr>
          <w:rFonts w:ascii="黑体" w:eastAsia="黑体"/>
          <w:color w:val="000000"/>
          <w:kern w:val="0"/>
          <w:szCs w:val="21"/>
        </w:rPr>
        <w:t>适用条件及</w:t>
      </w:r>
      <w:r>
        <w:rPr>
          <w:rFonts w:ascii="黑体" w:eastAsia="黑体" w:hint="eastAsia"/>
          <w:color w:val="000000"/>
          <w:kern w:val="0"/>
          <w:szCs w:val="21"/>
        </w:rPr>
        <w:t>特</w:t>
      </w:r>
      <w:r>
        <w:rPr>
          <w:rFonts w:ascii="黑体" w:eastAsia="黑体"/>
          <w:color w:val="000000"/>
          <w:kern w:val="0"/>
          <w:szCs w:val="21"/>
        </w:rPr>
        <w:t>点</w:t>
      </w:r>
    </w:p>
    <w:p w14:paraId="5FC08A27" w14:textId="2A1BBB4C" w:rsidR="00BA1C4E" w:rsidRDefault="008E428B">
      <w:pPr>
        <w:adjustRightInd w:val="0"/>
        <w:ind w:firstLineChars="200" w:firstLine="420"/>
        <w:rPr>
          <w:kern w:val="0"/>
          <w:szCs w:val="20"/>
        </w:rPr>
      </w:pPr>
      <w:r>
        <w:rPr>
          <w:rFonts w:hint="eastAsia"/>
          <w:kern w:val="0"/>
          <w:szCs w:val="20"/>
        </w:rPr>
        <w:t>适用于中度重金属污染土壤，具有处理时间短、成本低、工艺简单、技术成熟、对各种污染物适用性强等优点。稳定化材料的低剂量投加不会显著影响土壤的物理结构，尤其适合以绿化用地为主要目的的工业场地风险管控，但需长期监测与维护。原位修复成本较低，对污染物就地处置，而异位修复环境风险较低，系统处理的预测性高于原位修复。异位稳定化，国内处理成本一般为</w:t>
      </w:r>
      <w:r>
        <w:rPr>
          <w:rFonts w:hint="eastAsia"/>
          <w:kern w:val="0"/>
          <w:szCs w:val="20"/>
        </w:rPr>
        <w:t>500</w:t>
      </w:r>
      <w:r w:rsidR="005F6A07">
        <w:rPr>
          <w:rFonts w:hint="eastAsia"/>
          <w:kern w:val="0"/>
          <w:szCs w:val="20"/>
        </w:rPr>
        <w:t>~</w:t>
      </w:r>
      <w:r>
        <w:rPr>
          <w:rFonts w:hint="eastAsia"/>
          <w:kern w:val="0"/>
          <w:szCs w:val="20"/>
        </w:rPr>
        <w:t>1500</w:t>
      </w:r>
      <w:r>
        <w:rPr>
          <w:rFonts w:hint="eastAsia"/>
          <w:kern w:val="0"/>
          <w:szCs w:val="20"/>
        </w:rPr>
        <w:t>元</w:t>
      </w:r>
      <w:r>
        <w:rPr>
          <w:rFonts w:hint="eastAsia"/>
          <w:kern w:val="0"/>
          <w:szCs w:val="20"/>
        </w:rPr>
        <w:t>/m</w:t>
      </w:r>
      <w:r>
        <w:rPr>
          <w:rFonts w:hint="eastAsia"/>
          <w:kern w:val="0"/>
          <w:szCs w:val="20"/>
          <w:vertAlign w:val="superscript"/>
        </w:rPr>
        <w:t>3</w:t>
      </w:r>
      <w:r>
        <w:rPr>
          <w:rFonts w:hint="eastAsia"/>
          <w:kern w:val="0"/>
          <w:szCs w:val="20"/>
        </w:rPr>
        <w:t>。</w:t>
      </w:r>
    </w:p>
    <w:p w14:paraId="7880F3A0" w14:textId="77777777" w:rsidR="00BA1C4E" w:rsidRDefault="008E428B" w:rsidP="00316254">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7.1.2.2  技术构成和主要设备</w:t>
      </w:r>
    </w:p>
    <w:p w14:paraId="060F2BD4" w14:textId="77777777" w:rsidR="00BA1C4E" w:rsidRDefault="008E428B">
      <w:pPr>
        <w:adjustRightInd w:val="0"/>
        <w:ind w:firstLineChars="200" w:firstLine="420"/>
        <w:rPr>
          <w:kern w:val="0"/>
          <w:szCs w:val="20"/>
        </w:rPr>
      </w:pPr>
      <w:r>
        <w:rPr>
          <w:rFonts w:hint="eastAsia"/>
          <w:kern w:val="0"/>
          <w:szCs w:val="20"/>
        </w:rPr>
        <w:t xml:space="preserve">a)  </w:t>
      </w:r>
      <w:r>
        <w:rPr>
          <w:rFonts w:hint="eastAsia"/>
          <w:kern w:val="0"/>
          <w:szCs w:val="20"/>
        </w:rPr>
        <w:t>土壤稳定化技术体系由土壤预处理系统（异位处理用，包括土壤水分调节系统、土壤杂质筛分系统、土壤破碎系统）、稳定材料添加系统和土壤固化剂混合搅拌系统组成</w:t>
      </w:r>
      <w:r>
        <w:rPr>
          <w:rFonts w:hint="eastAsia"/>
          <w:kern w:val="0"/>
          <w:szCs w:val="20"/>
        </w:rPr>
        <w:t>(</w:t>
      </w:r>
      <w:r>
        <w:rPr>
          <w:rFonts w:hint="eastAsia"/>
          <w:kern w:val="0"/>
          <w:szCs w:val="20"/>
        </w:rPr>
        <w:t>双轴搅拌机、单轴螺旋搅拌机、链锤式搅拌机、切割锤击混合式搅拌机等</w:t>
      </w:r>
      <w:r>
        <w:rPr>
          <w:rFonts w:hint="eastAsia"/>
          <w:kern w:val="0"/>
          <w:szCs w:val="20"/>
        </w:rPr>
        <w:t>)</w:t>
      </w:r>
      <w:r>
        <w:rPr>
          <w:rFonts w:hint="eastAsia"/>
          <w:kern w:val="0"/>
          <w:szCs w:val="20"/>
        </w:rPr>
        <w:t>。</w:t>
      </w:r>
    </w:p>
    <w:p w14:paraId="0F110A4F" w14:textId="77777777" w:rsidR="00BA1C4E" w:rsidRDefault="008E428B">
      <w:pPr>
        <w:adjustRightInd w:val="0"/>
        <w:ind w:firstLineChars="200" w:firstLine="420"/>
        <w:rPr>
          <w:kern w:val="0"/>
          <w:szCs w:val="20"/>
        </w:rPr>
      </w:pPr>
      <w:r>
        <w:rPr>
          <w:kern w:val="0"/>
          <w:szCs w:val="20"/>
        </w:rPr>
        <w:t xml:space="preserve">b)  </w:t>
      </w:r>
      <w:r>
        <w:rPr>
          <w:rFonts w:hint="eastAsia"/>
          <w:kern w:val="0"/>
          <w:szCs w:val="20"/>
        </w:rPr>
        <w:t>稳定化工程设备包括挖掘、转运、预处理、药剂制备和投加装置及搅拌混合设备等。机械设备的材质应具有耐腐蚀性、耐磨损性和较高机械强度，优先选用自动化程度高的专用设备。</w:t>
      </w:r>
    </w:p>
    <w:p w14:paraId="1BC52536" w14:textId="77777777" w:rsidR="00BA1C4E" w:rsidRDefault="008E428B">
      <w:pPr>
        <w:adjustRightInd w:val="0"/>
        <w:ind w:firstLineChars="200" w:firstLine="420"/>
        <w:rPr>
          <w:kern w:val="0"/>
          <w:szCs w:val="20"/>
        </w:rPr>
      </w:pPr>
      <w:r>
        <w:rPr>
          <w:rFonts w:hint="eastAsia"/>
          <w:kern w:val="0"/>
          <w:szCs w:val="20"/>
        </w:rPr>
        <w:t>c</w:t>
      </w:r>
      <w:r>
        <w:rPr>
          <w:kern w:val="0"/>
          <w:szCs w:val="20"/>
        </w:rPr>
        <w:t xml:space="preserve">)  </w:t>
      </w:r>
      <w:r>
        <w:rPr>
          <w:rFonts w:hint="eastAsia"/>
          <w:kern w:val="0"/>
          <w:szCs w:val="20"/>
        </w:rPr>
        <w:t>原位稳定化的搅拌混合可采用大尺寸螺旋搅拌、转筒搅拌机、高压旋喷机等设备，并具备水、液体、浆状物料等的投加和混合能力。</w:t>
      </w:r>
    </w:p>
    <w:p w14:paraId="7531380B" w14:textId="77777777" w:rsidR="00BA1C4E" w:rsidRDefault="008E428B">
      <w:pPr>
        <w:adjustRightInd w:val="0"/>
        <w:ind w:firstLineChars="200" w:firstLine="420"/>
        <w:rPr>
          <w:kern w:val="0"/>
          <w:szCs w:val="20"/>
        </w:rPr>
      </w:pPr>
      <w:r>
        <w:rPr>
          <w:rFonts w:hint="eastAsia"/>
          <w:kern w:val="0"/>
          <w:szCs w:val="20"/>
        </w:rPr>
        <w:t>d</w:t>
      </w:r>
      <w:r>
        <w:rPr>
          <w:kern w:val="0"/>
          <w:szCs w:val="20"/>
        </w:rPr>
        <w:t>)</w:t>
      </w:r>
      <w:r>
        <w:rPr>
          <w:rFonts w:hint="eastAsia"/>
          <w:kern w:val="0"/>
          <w:szCs w:val="20"/>
        </w:rPr>
        <w:t xml:space="preserve">  </w:t>
      </w:r>
      <w:r>
        <w:rPr>
          <w:rFonts w:hint="eastAsia"/>
          <w:kern w:val="0"/>
          <w:szCs w:val="20"/>
        </w:rPr>
        <w:t>异位稳定化预处理可采用圆筒筛、振动筛、筛分斗和固定格栅等进行筛分减量化。</w:t>
      </w:r>
    </w:p>
    <w:p w14:paraId="7C3FFD5F" w14:textId="77777777" w:rsidR="00BA1C4E" w:rsidRDefault="008E428B">
      <w:pPr>
        <w:adjustRightInd w:val="0"/>
        <w:ind w:firstLineChars="200" w:firstLine="420"/>
        <w:rPr>
          <w:kern w:val="0"/>
          <w:szCs w:val="20"/>
        </w:rPr>
      </w:pPr>
      <w:r>
        <w:rPr>
          <w:rFonts w:hint="eastAsia"/>
          <w:kern w:val="0"/>
          <w:szCs w:val="20"/>
        </w:rPr>
        <w:t>e</w:t>
      </w:r>
      <w:r>
        <w:rPr>
          <w:kern w:val="0"/>
          <w:szCs w:val="20"/>
        </w:rPr>
        <w:t>)</w:t>
      </w:r>
      <w:r>
        <w:rPr>
          <w:rFonts w:hint="eastAsia"/>
          <w:kern w:val="0"/>
          <w:szCs w:val="20"/>
        </w:rPr>
        <w:t xml:space="preserve">  </w:t>
      </w:r>
      <w:r>
        <w:rPr>
          <w:rFonts w:hint="eastAsia"/>
          <w:kern w:val="0"/>
          <w:szCs w:val="20"/>
        </w:rPr>
        <w:t>异位稳定化的搅拌混合可采用双轴搅拌、土壤改良机等设备，并具备水、液体、浆状和粉状等物料的投加和混合能力。</w:t>
      </w:r>
    </w:p>
    <w:p w14:paraId="3DE81D9F" w14:textId="77777777" w:rsidR="00BA1C4E" w:rsidRDefault="008E428B" w:rsidP="00316254">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7.1.2.3  关键技术参数或指标</w:t>
      </w:r>
    </w:p>
    <w:p w14:paraId="0CC53D33" w14:textId="77777777" w:rsidR="00BA1C4E" w:rsidRDefault="008E428B">
      <w:pPr>
        <w:adjustRightInd w:val="0"/>
        <w:ind w:firstLineChars="200" w:firstLine="420"/>
        <w:rPr>
          <w:kern w:val="0"/>
          <w:szCs w:val="20"/>
        </w:rPr>
      </w:pPr>
      <w:r>
        <w:rPr>
          <w:kern w:val="0"/>
          <w:szCs w:val="20"/>
        </w:rPr>
        <w:t xml:space="preserve">a)  </w:t>
      </w:r>
      <w:r>
        <w:rPr>
          <w:rFonts w:hint="eastAsia"/>
          <w:kern w:val="0"/>
          <w:szCs w:val="20"/>
        </w:rPr>
        <w:t>根据小试、中试确定和优化材料和药剂配比、混合搅拌方式和工艺、预处理技术和工艺、养护方式和时间及费用，评估稳定化效果（选择测定土壤污染物浸出水平等参数评估中试效果）和二次污染防控措施的有效性。</w:t>
      </w:r>
    </w:p>
    <w:p w14:paraId="05C9783E" w14:textId="7EF1AAF9" w:rsidR="00BA1C4E" w:rsidRDefault="008E428B">
      <w:pPr>
        <w:adjustRightInd w:val="0"/>
        <w:ind w:firstLineChars="200" w:firstLine="420"/>
        <w:rPr>
          <w:kern w:val="0"/>
          <w:szCs w:val="20"/>
        </w:rPr>
      </w:pPr>
      <w:r>
        <w:rPr>
          <w:kern w:val="0"/>
          <w:szCs w:val="20"/>
        </w:rPr>
        <w:t>b</w:t>
      </w:r>
      <w:r>
        <w:rPr>
          <w:rFonts w:hint="eastAsia"/>
          <w:kern w:val="0"/>
          <w:szCs w:val="20"/>
        </w:rPr>
        <w:t>)</w:t>
      </w:r>
      <w:r>
        <w:rPr>
          <w:kern w:val="0"/>
          <w:szCs w:val="20"/>
        </w:rPr>
        <w:t xml:space="preserve">  </w:t>
      </w:r>
      <w:r>
        <w:rPr>
          <w:rFonts w:hint="eastAsia"/>
          <w:kern w:val="0"/>
          <w:szCs w:val="20"/>
        </w:rPr>
        <w:t>根据污染物类型和污染程度选择适宜的稳定剂种类及添加量，保证土壤破碎后与稳定材料混匀，场地示范中稳定化材料用量是中试的</w:t>
      </w:r>
      <w:r>
        <w:rPr>
          <w:rFonts w:hint="eastAsia"/>
          <w:kern w:val="0"/>
          <w:szCs w:val="20"/>
        </w:rPr>
        <w:t>1</w:t>
      </w:r>
      <w:r w:rsidR="00296DB0">
        <w:rPr>
          <w:kern w:val="0"/>
          <w:szCs w:val="20"/>
        </w:rPr>
        <w:t>~</w:t>
      </w:r>
      <w:r>
        <w:rPr>
          <w:kern w:val="0"/>
          <w:szCs w:val="20"/>
        </w:rPr>
        <w:t>2</w:t>
      </w:r>
      <w:r>
        <w:rPr>
          <w:rFonts w:hint="eastAsia"/>
          <w:kern w:val="0"/>
          <w:szCs w:val="20"/>
        </w:rPr>
        <w:t>倍。</w:t>
      </w:r>
    </w:p>
    <w:p w14:paraId="1D16842B" w14:textId="77777777" w:rsidR="00BA1C4E" w:rsidRDefault="008E428B" w:rsidP="00316254">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7.1.2.4  土壤稳定化技术长效治理注意事项</w:t>
      </w:r>
    </w:p>
    <w:p w14:paraId="03D92E75" w14:textId="77777777" w:rsidR="00BA1C4E" w:rsidRDefault="008E428B">
      <w:pPr>
        <w:adjustRightInd w:val="0"/>
        <w:ind w:firstLineChars="200" w:firstLine="420"/>
        <w:rPr>
          <w:kern w:val="0"/>
          <w:szCs w:val="20"/>
        </w:rPr>
      </w:pPr>
      <w:r>
        <w:rPr>
          <w:rFonts w:hint="eastAsia"/>
          <w:kern w:val="0"/>
          <w:szCs w:val="20"/>
        </w:rPr>
        <w:t xml:space="preserve">a)  </w:t>
      </w:r>
      <w:r>
        <w:rPr>
          <w:rFonts w:hint="eastAsia"/>
          <w:kern w:val="0"/>
          <w:szCs w:val="20"/>
        </w:rPr>
        <w:t>适宜的药剂。稳定化药剂的选择应根据土壤污染物种类、污染程度和土壤理化性质等指标确定。</w:t>
      </w:r>
      <w:r>
        <w:rPr>
          <w:rFonts w:hint="eastAsia"/>
          <w:kern w:val="0"/>
          <w:szCs w:val="20"/>
        </w:rPr>
        <w:lastRenderedPageBreak/>
        <w:t>铅、铜、锌、镉、镍等阳离子重金属常用稳定化药剂有碱性材料（氧化钙、氧化镁、氢氧化钙、石灰石、粉煤灰等）、含磷材料（磷酸盐、骨炭、磷矿石等）和吸附材料（蒙脱石、沸石、海泡石、活性炭、生物炭等）。砷污染常用稳定化药剂有零价铁、铁盐、铁氧化物、铝氧化物、锰氧化物、硫化亚铁和高炉矿渣）。砷和其它阳离子金属复合污染常用稳定化药剂有铁氧化合物、铁盐、铁盐与磷酸盐复配、高炉矿渣以及生物炭。</w:t>
      </w:r>
    </w:p>
    <w:p w14:paraId="3DD7E0E5" w14:textId="1FA58BD4" w:rsidR="00BA1C4E" w:rsidRDefault="008E428B">
      <w:pPr>
        <w:adjustRightInd w:val="0"/>
        <w:ind w:firstLineChars="200" w:firstLine="420"/>
        <w:rPr>
          <w:kern w:val="0"/>
          <w:szCs w:val="20"/>
        </w:rPr>
      </w:pPr>
      <w:r w:rsidRPr="005E291A">
        <w:rPr>
          <w:rFonts w:hint="eastAsia"/>
          <w:kern w:val="0"/>
          <w:szCs w:val="20"/>
        </w:rPr>
        <w:t>基于矿物材料、改性生物炭和缓释材料等多类型复合型稳定化材料的长效绿色治理技术，减少材料的投加量，并且可在复杂环境中实现长期稳定性。</w:t>
      </w:r>
    </w:p>
    <w:p w14:paraId="0C968AE1" w14:textId="2DFD4E0C" w:rsidR="00BA1C4E" w:rsidRDefault="008E428B">
      <w:pPr>
        <w:adjustRightInd w:val="0"/>
        <w:ind w:firstLineChars="200" w:firstLine="420"/>
        <w:rPr>
          <w:kern w:val="0"/>
          <w:szCs w:val="20"/>
        </w:rPr>
      </w:pPr>
      <w:r>
        <w:rPr>
          <w:kern w:val="0"/>
          <w:szCs w:val="20"/>
        </w:rPr>
        <w:t xml:space="preserve">b)  </w:t>
      </w:r>
      <w:r>
        <w:rPr>
          <w:rFonts w:hint="eastAsia"/>
          <w:kern w:val="0"/>
          <w:szCs w:val="20"/>
        </w:rPr>
        <w:t>最佳投加比。试验确定适用药剂的最佳投加比，常用范围宜为</w:t>
      </w:r>
      <w:r>
        <w:rPr>
          <w:rFonts w:hint="eastAsia"/>
          <w:kern w:val="0"/>
          <w:szCs w:val="20"/>
        </w:rPr>
        <w:t>0.5%</w:t>
      </w:r>
      <w:r w:rsidR="00296DB0">
        <w:rPr>
          <w:rFonts w:hint="eastAsia"/>
          <w:kern w:val="0"/>
          <w:szCs w:val="20"/>
        </w:rPr>
        <w:t>~</w:t>
      </w:r>
      <w:r>
        <w:rPr>
          <w:kern w:val="0"/>
          <w:szCs w:val="20"/>
        </w:rPr>
        <w:t>3</w:t>
      </w:r>
      <w:r>
        <w:rPr>
          <w:rFonts w:hint="eastAsia"/>
          <w:kern w:val="0"/>
          <w:szCs w:val="20"/>
        </w:rPr>
        <w:t>.0%</w:t>
      </w:r>
      <w:r w:rsidR="00296DB0">
        <w:rPr>
          <w:rFonts w:hint="eastAsia"/>
          <w:kern w:val="0"/>
          <w:szCs w:val="20"/>
        </w:rPr>
        <w:t>。</w:t>
      </w:r>
    </w:p>
    <w:p w14:paraId="065A9F47" w14:textId="77777777" w:rsidR="00BA1C4E" w:rsidRDefault="008E428B">
      <w:pPr>
        <w:adjustRightInd w:val="0"/>
        <w:ind w:firstLineChars="200" w:firstLine="420"/>
        <w:rPr>
          <w:kern w:val="0"/>
          <w:szCs w:val="20"/>
        </w:rPr>
      </w:pPr>
      <w:r>
        <w:rPr>
          <w:rFonts w:hint="eastAsia"/>
          <w:kern w:val="0"/>
          <w:szCs w:val="20"/>
        </w:rPr>
        <w:t>c</w:t>
      </w:r>
      <w:r>
        <w:rPr>
          <w:kern w:val="0"/>
          <w:szCs w:val="20"/>
        </w:rPr>
        <w:t xml:space="preserve">)  </w:t>
      </w:r>
      <w:r>
        <w:rPr>
          <w:rFonts w:hint="eastAsia"/>
          <w:kern w:val="0"/>
          <w:szCs w:val="20"/>
        </w:rPr>
        <w:t>土壤破碎程度。土壤破碎程度大有利于后续与稳定剂的充分混合接触，一般要求土壤颗粒最大的尺寸不宜大于</w:t>
      </w:r>
      <w:r>
        <w:rPr>
          <w:rFonts w:hint="eastAsia"/>
          <w:kern w:val="0"/>
          <w:szCs w:val="20"/>
        </w:rPr>
        <w:t>5 cm</w:t>
      </w:r>
      <w:r>
        <w:rPr>
          <w:rFonts w:hint="eastAsia"/>
          <w:kern w:val="0"/>
          <w:szCs w:val="20"/>
        </w:rPr>
        <w:t>。应用多级筛分设备进行精细化的筛选，方可保证后续的治理要求。</w:t>
      </w:r>
    </w:p>
    <w:p w14:paraId="5D9D097C" w14:textId="77777777" w:rsidR="00BA1C4E" w:rsidRDefault="008E428B">
      <w:pPr>
        <w:adjustRightInd w:val="0"/>
        <w:ind w:firstLineChars="200" w:firstLine="420"/>
        <w:rPr>
          <w:kern w:val="0"/>
          <w:szCs w:val="20"/>
        </w:rPr>
      </w:pPr>
      <w:r>
        <w:rPr>
          <w:rFonts w:hint="eastAsia"/>
          <w:kern w:val="0"/>
          <w:szCs w:val="20"/>
        </w:rPr>
        <w:t>d</w:t>
      </w:r>
      <w:r>
        <w:rPr>
          <w:kern w:val="0"/>
          <w:szCs w:val="20"/>
        </w:rPr>
        <w:t>)</w:t>
      </w:r>
      <w:r>
        <w:rPr>
          <w:rFonts w:hint="eastAsia"/>
          <w:kern w:val="0"/>
          <w:szCs w:val="20"/>
        </w:rPr>
        <w:t xml:space="preserve">  </w:t>
      </w:r>
      <w:r>
        <w:rPr>
          <w:rFonts w:hint="eastAsia"/>
          <w:kern w:val="0"/>
          <w:szCs w:val="20"/>
        </w:rPr>
        <w:t>含水率。保持土壤含水率为</w:t>
      </w:r>
      <w:r>
        <w:rPr>
          <w:rFonts w:hint="eastAsia"/>
          <w:kern w:val="0"/>
          <w:szCs w:val="20"/>
        </w:rPr>
        <w:t>8</w:t>
      </w:r>
      <w:r>
        <w:rPr>
          <w:kern w:val="0"/>
          <w:szCs w:val="20"/>
        </w:rPr>
        <w:t>0</w:t>
      </w:r>
      <w:r>
        <w:rPr>
          <w:rFonts w:hint="eastAsia"/>
          <w:kern w:val="0"/>
          <w:szCs w:val="20"/>
        </w:rPr>
        <w:t>%</w:t>
      </w:r>
      <w:r>
        <w:rPr>
          <w:rFonts w:hint="eastAsia"/>
          <w:kern w:val="0"/>
          <w:szCs w:val="20"/>
        </w:rPr>
        <w:t>。</w:t>
      </w:r>
    </w:p>
    <w:p w14:paraId="6C81B7B4" w14:textId="77777777" w:rsidR="00BA1C4E" w:rsidRDefault="008E428B">
      <w:pPr>
        <w:adjustRightInd w:val="0"/>
        <w:ind w:firstLineChars="200" w:firstLine="420"/>
        <w:rPr>
          <w:kern w:val="0"/>
          <w:szCs w:val="20"/>
        </w:rPr>
      </w:pPr>
      <w:r>
        <w:rPr>
          <w:rFonts w:hint="eastAsia"/>
          <w:kern w:val="0"/>
          <w:szCs w:val="20"/>
        </w:rPr>
        <w:t>e</w:t>
      </w:r>
      <w:r>
        <w:rPr>
          <w:kern w:val="0"/>
          <w:szCs w:val="20"/>
        </w:rPr>
        <w:t>)</w:t>
      </w:r>
      <w:r>
        <w:rPr>
          <w:rFonts w:hint="eastAsia"/>
          <w:kern w:val="0"/>
          <w:szCs w:val="20"/>
        </w:rPr>
        <w:t xml:space="preserve">  </w:t>
      </w:r>
      <w:r>
        <w:rPr>
          <w:rFonts w:hint="eastAsia"/>
          <w:kern w:val="0"/>
          <w:szCs w:val="20"/>
        </w:rPr>
        <w:t>充分混匀。土壤与稳定剂的混匀程度是该技术一个关键性瓶颈指标，可借助搅拌混匀设备开展精细化施工，混合越均匀稳定化效果越好。</w:t>
      </w:r>
    </w:p>
    <w:p w14:paraId="4771768A" w14:textId="77777777" w:rsidR="00BA1C4E" w:rsidRDefault="008E428B">
      <w:pPr>
        <w:adjustRightInd w:val="0"/>
        <w:ind w:firstLineChars="200" w:firstLine="420"/>
        <w:rPr>
          <w:kern w:val="0"/>
          <w:szCs w:val="20"/>
        </w:rPr>
      </w:pPr>
      <w:r>
        <w:rPr>
          <w:kern w:val="0"/>
          <w:szCs w:val="20"/>
        </w:rPr>
        <w:t>f)</w:t>
      </w:r>
      <w:r>
        <w:rPr>
          <w:rFonts w:hint="eastAsia"/>
          <w:kern w:val="0"/>
          <w:szCs w:val="20"/>
        </w:rPr>
        <w:t xml:space="preserve">  </w:t>
      </w:r>
      <w:r>
        <w:rPr>
          <w:rFonts w:hint="eastAsia"/>
          <w:kern w:val="0"/>
          <w:szCs w:val="20"/>
        </w:rPr>
        <w:t>土壤环境条件。随着环境条件如</w:t>
      </w:r>
      <w:r>
        <w:rPr>
          <w:rFonts w:hint="eastAsia"/>
          <w:kern w:val="0"/>
          <w:szCs w:val="20"/>
        </w:rPr>
        <w:t>pH</w:t>
      </w:r>
      <w:r>
        <w:rPr>
          <w:rFonts w:hint="eastAsia"/>
          <w:kern w:val="0"/>
          <w:szCs w:val="20"/>
        </w:rPr>
        <w:t>值、氧化</w:t>
      </w:r>
      <w:r>
        <w:rPr>
          <w:rFonts w:hint="eastAsia"/>
          <w:kern w:val="0"/>
          <w:szCs w:val="20"/>
        </w:rPr>
        <w:t>/</w:t>
      </w:r>
      <w:r>
        <w:rPr>
          <w:rFonts w:hint="eastAsia"/>
          <w:kern w:val="0"/>
          <w:szCs w:val="20"/>
        </w:rPr>
        <w:t>还原条件等改变时容易造成二次释放。在稳定化技术的应用设计和后期监测时应重点加以考虑。尤其磷酸盐对土壤重金属的稳定化效果影响较大，</w:t>
      </w:r>
      <w:r>
        <w:rPr>
          <w:rFonts w:hint="eastAsia"/>
          <w:kern w:val="0"/>
          <w:szCs w:val="20"/>
        </w:rPr>
        <w:t xml:space="preserve">pH </w:t>
      </w:r>
      <w:r>
        <w:rPr>
          <w:rFonts w:hint="eastAsia"/>
          <w:kern w:val="0"/>
          <w:szCs w:val="20"/>
        </w:rPr>
        <w:t>值越低越有利于难溶性磷的溶解。</w:t>
      </w:r>
    </w:p>
    <w:p w14:paraId="66DD799A" w14:textId="77777777" w:rsidR="00BA1C4E" w:rsidRDefault="008E428B">
      <w:pPr>
        <w:adjustRightInd w:val="0"/>
        <w:ind w:firstLineChars="200" w:firstLine="420"/>
        <w:rPr>
          <w:kern w:val="0"/>
          <w:szCs w:val="20"/>
        </w:rPr>
      </w:pPr>
      <w:r>
        <w:rPr>
          <w:kern w:val="0"/>
          <w:szCs w:val="20"/>
        </w:rPr>
        <w:t xml:space="preserve">g)  </w:t>
      </w:r>
      <w:r>
        <w:rPr>
          <w:rFonts w:hint="eastAsia"/>
          <w:kern w:val="0"/>
          <w:szCs w:val="20"/>
        </w:rPr>
        <w:t>施工工艺。原位修复中以新型羟基磷灰石为主要修复材料，并研发改进粉喷搅拌施工工艺，提高了重金属的稳定化效果。</w:t>
      </w:r>
    </w:p>
    <w:p w14:paraId="598EF13F" w14:textId="77777777" w:rsidR="00BA1C4E" w:rsidRDefault="008E428B">
      <w:pPr>
        <w:adjustRightInd w:val="0"/>
        <w:ind w:firstLineChars="200" w:firstLine="420"/>
        <w:rPr>
          <w:kern w:val="0"/>
          <w:szCs w:val="20"/>
        </w:rPr>
      </w:pPr>
      <w:r>
        <w:rPr>
          <w:kern w:val="0"/>
          <w:szCs w:val="20"/>
        </w:rPr>
        <w:t xml:space="preserve">h)  </w:t>
      </w:r>
      <w:r>
        <w:rPr>
          <w:rFonts w:hint="eastAsia"/>
          <w:kern w:val="0"/>
          <w:szCs w:val="20"/>
        </w:rPr>
        <w:t>养护时间。稳定化材料与土壤混匀后保持水分养护，养护时间一般不少于</w:t>
      </w:r>
      <w:r>
        <w:rPr>
          <w:kern w:val="0"/>
          <w:szCs w:val="20"/>
        </w:rPr>
        <w:t>7</w:t>
      </w:r>
      <w:r>
        <w:rPr>
          <w:rFonts w:hint="eastAsia"/>
          <w:kern w:val="0"/>
          <w:szCs w:val="20"/>
        </w:rPr>
        <w:t xml:space="preserve"> d</w:t>
      </w:r>
      <w:r>
        <w:rPr>
          <w:rFonts w:hint="eastAsia"/>
          <w:kern w:val="0"/>
          <w:szCs w:val="20"/>
        </w:rPr>
        <w:t>，确保药剂有足够时间与污染物接触和反应。</w:t>
      </w:r>
    </w:p>
    <w:p w14:paraId="5BC9D1BB" w14:textId="77777777" w:rsidR="00BA1C4E" w:rsidRDefault="008E428B">
      <w:pPr>
        <w:adjustRightInd w:val="0"/>
        <w:ind w:firstLineChars="200" w:firstLine="420"/>
        <w:rPr>
          <w:kern w:val="0"/>
          <w:szCs w:val="20"/>
        </w:rPr>
      </w:pPr>
      <w:proofErr w:type="spellStart"/>
      <w:r>
        <w:rPr>
          <w:kern w:val="0"/>
          <w:szCs w:val="20"/>
        </w:rPr>
        <w:t>i</w:t>
      </w:r>
      <w:proofErr w:type="spellEnd"/>
      <w:r>
        <w:rPr>
          <w:kern w:val="0"/>
          <w:szCs w:val="20"/>
        </w:rPr>
        <w:t xml:space="preserve">)  </w:t>
      </w:r>
      <w:r>
        <w:rPr>
          <w:rFonts w:hint="eastAsia"/>
          <w:kern w:val="0"/>
          <w:szCs w:val="20"/>
        </w:rPr>
        <w:t>长效性评价。稳定化技术并没有将重金属从土壤中移除，因此对稳定化作用后的土壤开展长期监测、合理评判重金属的长期迁移淋溶风险是必要的。后期开展加速老化实验（如干湿交替、冻融循环或模拟酸雨淋溶实验等）评估稳定化材料的长效性，及时调整或补充稳定化材料以保证治理效果的长效性。</w:t>
      </w:r>
    </w:p>
    <w:p w14:paraId="687FD696" w14:textId="77777777" w:rsidR="00BA1C4E" w:rsidRDefault="008E428B">
      <w:pPr>
        <w:pStyle w:val="a1"/>
        <w:numPr>
          <w:ilvl w:val="0"/>
          <w:numId w:val="0"/>
        </w:numPr>
        <w:spacing w:before="156" w:after="156"/>
        <w:rPr>
          <w:color w:val="000000"/>
        </w:rPr>
      </w:pPr>
      <w:bookmarkStart w:id="198" w:name="_Toc140993878"/>
      <w:r>
        <w:rPr>
          <w:rFonts w:hint="eastAsia"/>
          <w:color w:val="000000"/>
        </w:rPr>
        <w:t>7.1.3  土壤固化技术</w:t>
      </w:r>
      <w:bookmarkEnd w:id="198"/>
    </w:p>
    <w:p w14:paraId="0B5828AA" w14:textId="77777777" w:rsidR="00BA1C4E" w:rsidRDefault="008E428B">
      <w:pPr>
        <w:adjustRightInd w:val="0"/>
        <w:ind w:firstLineChars="200" w:firstLine="420"/>
        <w:rPr>
          <w:kern w:val="0"/>
          <w:szCs w:val="20"/>
        </w:rPr>
      </w:pPr>
      <w:r>
        <w:rPr>
          <w:rFonts w:hint="eastAsia"/>
          <w:kern w:val="0"/>
          <w:szCs w:val="20"/>
        </w:rPr>
        <w:t>固化技术是通过向污染土壤中添加固化材料，经充分混合，使其与污染介质、污染物发生物理、化学作用，将污染土壤固封为结构完整的具有低渗透系数的固化体，降低污染物在环境中的迁移和扩散。</w:t>
      </w:r>
    </w:p>
    <w:p w14:paraId="501CB203" w14:textId="77777777" w:rsidR="00BA1C4E" w:rsidRDefault="008E428B" w:rsidP="00316254">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 xml:space="preserve">7.1.3.1  </w:t>
      </w:r>
      <w:r>
        <w:rPr>
          <w:rFonts w:ascii="黑体" w:eastAsia="黑体"/>
          <w:color w:val="000000"/>
          <w:kern w:val="0"/>
          <w:szCs w:val="21"/>
        </w:rPr>
        <w:t>适用条件及</w:t>
      </w:r>
      <w:r>
        <w:rPr>
          <w:rFonts w:ascii="黑体" w:eastAsia="黑体" w:hint="eastAsia"/>
          <w:color w:val="000000"/>
          <w:kern w:val="0"/>
          <w:szCs w:val="21"/>
        </w:rPr>
        <w:t>特</w:t>
      </w:r>
      <w:r>
        <w:rPr>
          <w:rFonts w:ascii="黑体" w:eastAsia="黑体"/>
          <w:color w:val="000000"/>
          <w:kern w:val="0"/>
          <w:szCs w:val="21"/>
        </w:rPr>
        <w:t>点</w:t>
      </w:r>
    </w:p>
    <w:p w14:paraId="77E5F607" w14:textId="5E13F2B2" w:rsidR="00BA1C4E" w:rsidRDefault="008E428B">
      <w:pPr>
        <w:adjustRightInd w:val="0"/>
        <w:ind w:firstLineChars="200" w:firstLine="420"/>
        <w:rPr>
          <w:kern w:val="0"/>
          <w:szCs w:val="20"/>
        </w:rPr>
      </w:pPr>
      <w:r>
        <w:rPr>
          <w:rFonts w:hint="eastAsia"/>
          <w:kern w:val="0"/>
          <w:szCs w:val="20"/>
        </w:rPr>
        <w:t>适用于重度重金属污染土壤，具有处理时间短、成本低、工艺简单、对各种污染物适用性强等优点。其最大的优势在于水泥基材料亦碱激发火山灰类材料，通过物理包埋、化学沉淀等机理实现土壤污染物的长期稳定包封，能够在较长时间尺度内实现多金属的协同固化，保证重金属浸出浓度维持在可接受范围内。但固化后土壤难以用于植物种植，且固化技术存在修复后土壤占用体积大，需长期监测与维护，使得国内固化技术的应用率逐年下降。固化技术更适用于路基、建筑用地回填等回用用途</w:t>
      </w:r>
      <w:r w:rsidR="0096093C">
        <w:rPr>
          <w:rFonts w:hint="eastAsia"/>
          <w:kern w:val="0"/>
          <w:szCs w:val="20"/>
        </w:rPr>
        <w:t>，</w:t>
      </w:r>
      <w:r>
        <w:rPr>
          <w:rFonts w:hint="eastAsia"/>
          <w:kern w:val="0"/>
          <w:szCs w:val="20"/>
        </w:rPr>
        <w:t>不适合大面积土壤修复。</w:t>
      </w:r>
    </w:p>
    <w:p w14:paraId="4C1C5BAF" w14:textId="77777777" w:rsidR="00BA1C4E" w:rsidRDefault="008E428B" w:rsidP="00316254">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7.1.3.2  技术构成和主要设备</w:t>
      </w:r>
    </w:p>
    <w:p w14:paraId="76F62D33" w14:textId="77777777" w:rsidR="00BA1C4E" w:rsidRDefault="008E428B">
      <w:pPr>
        <w:adjustRightInd w:val="0"/>
        <w:ind w:firstLineChars="200" w:firstLine="420"/>
        <w:rPr>
          <w:kern w:val="0"/>
          <w:szCs w:val="20"/>
        </w:rPr>
      </w:pPr>
      <w:r>
        <w:rPr>
          <w:rFonts w:hint="eastAsia"/>
          <w:kern w:val="0"/>
          <w:szCs w:val="20"/>
        </w:rPr>
        <w:t xml:space="preserve">a)  </w:t>
      </w:r>
      <w:r>
        <w:rPr>
          <w:rFonts w:hint="eastAsia"/>
          <w:kern w:val="0"/>
          <w:szCs w:val="20"/>
        </w:rPr>
        <w:t>土壤固化技术体系由土壤预处理系统（异位处理用，包括土壤水分调节系统、土壤杂质筛分系统、土壤破碎系统）、固化剂添加系统和土壤固化剂混合搅拌系统组成</w:t>
      </w:r>
      <w:r>
        <w:rPr>
          <w:rFonts w:hint="eastAsia"/>
          <w:kern w:val="0"/>
          <w:szCs w:val="20"/>
        </w:rPr>
        <w:t>(</w:t>
      </w:r>
      <w:r>
        <w:rPr>
          <w:rFonts w:hint="eastAsia"/>
          <w:kern w:val="0"/>
          <w:szCs w:val="20"/>
        </w:rPr>
        <w:t>双轴搅拌机、单轴螺旋搅拌机、链锤式搅拌机、切割锤击混合式搅拌机等</w:t>
      </w:r>
      <w:r>
        <w:rPr>
          <w:rFonts w:hint="eastAsia"/>
          <w:kern w:val="0"/>
          <w:szCs w:val="20"/>
        </w:rPr>
        <w:t>)</w:t>
      </w:r>
      <w:r>
        <w:rPr>
          <w:rFonts w:hint="eastAsia"/>
          <w:kern w:val="0"/>
          <w:szCs w:val="20"/>
        </w:rPr>
        <w:t>。</w:t>
      </w:r>
    </w:p>
    <w:p w14:paraId="5D30FB8E" w14:textId="77777777" w:rsidR="00BA1C4E" w:rsidRDefault="008E428B">
      <w:pPr>
        <w:adjustRightInd w:val="0"/>
        <w:ind w:firstLineChars="200" w:firstLine="420"/>
        <w:rPr>
          <w:kern w:val="0"/>
          <w:szCs w:val="20"/>
        </w:rPr>
      </w:pPr>
      <w:r>
        <w:rPr>
          <w:kern w:val="0"/>
          <w:szCs w:val="20"/>
        </w:rPr>
        <w:t xml:space="preserve">b)  </w:t>
      </w:r>
      <w:r>
        <w:rPr>
          <w:rFonts w:hint="eastAsia"/>
          <w:kern w:val="0"/>
          <w:szCs w:val="20"/>
        </w:rPr>
        <w:t>固化工程设备包括挖掘、转运、预处理、药剂制备和投加装置及搅拌混合设备等。机械设备的材质应具有耐腐蚀性、耐磨损性和较高机械强度，优先选用自动化程度高的专用设备。</w:t>
      </w:r>
    </w:p>
    <w:p w14:paraId="3B2F6482" w14:textId="77777777" w:rsidR="00BA1C4E" w:rsidRDefault="008E428B">
      <w:pPr>
        <w:adjustRightInd w:val="0"/>
        <w:ind w:firstLineChars="200" w:firstLine="420"/>
        <w:rPr>
          <w:kern w:val="0"/>
          <w:szCs w:val="20"/>
        </w:rPr>
      </w:pPr>
      <w:r>
        <w:rPr>
          <w:rFonts w:hint="eastAsia"/>
          <w:kern w:val="0"/>
          <w:szCs w:val="20"/>
        </w:rPr>
        <w:lastRenderedPageBreak/>
        <w:t>c</w:t>
      </w:r>
      <w:r>
        <w:rPr>
          <w:kern w:val="0"/>
          <w:szCs w:val="20"/>
        </w:rPr>
        <w:t xml:space="preserve">)  </w:t>
      </w:r>
      <w:r>
        <w:rPr>
          <w:rFonts w:hint="eastAsia"/>
          <w:kern w:val="0"/>
          <w:szCs w:val="20"/>
        </w:rPr>
        <w:t>原位固化的搅拌混合可采用大尺寸螺旋搅拌、转筒搅拌机、高压旋喷机等设备，并具备水、液体、浆状物料等的投加和混合能力。</w:t>
      </w:r>
    </w:p>
    <w:p w14:paraId="242F949D" w14:textId="77777777" w:rsidR="00BA1C4E" w:rsidRDefault="008E428B">
      <w:pPr>
        <w:adjustRightInd w:val="0"/>
        <w:ind w:firstLineChars="200" w:firstLine="420"/>
        <w:rPr>
          <w:kern w:val="0"/>
          <w:szCs w:val="20"/>
        </w:rPr>
      </w:pPr>
      <w:r>
        <w:rPr>
          <w:rFonts w:hint="eastAsia"/>
          <w:kern w:val="0"/>
          <w:szCs w:val="20"/>
        </w:rPr>
        <w:t>d</w:t>
      </w:r>
      <w:r>
        <w:rPr>
          <w:kern w:val="0"/>
          <w:szCs w:val="20"/>
        </w:rPr>
        <w:t>)</w:t>
      </w:r>
      <w:r>
        <w:rPr>
          <w:rFonts w:hint="eastAsia"/>
          <w:kern w:val="0"/>
          <w:szCs w:val="20"/>
        </w:rPr>
        <w:t xml:space="preserve">  </w:t>
      </w:r>
      <w:r>
        <w:rPr>
          <w:rFonts w:hint="eastAsia"/>
          <w:kern w:val="0"/>
          <w:szCs w:val="20"/>
        </w:rPr>
        <w:t>异位固化预处理可采用圆筒筛、振动筛、筛分斗和固定格栅等进行筛分减量化。</w:t>
      </w:r>
    </w:p>
    <w:p w14:paraId="50650627" w14:textId="77777777" w:rsidR="00BA1C4E" w:rsidRDefault="008E428B">
      <w:pPr>
        <w:adjustRightInd w:val="0"/>
        <w:ind w:firstLineChars="200" w:firstLine="420"/>
        <w:rPr>
          <w:kern w:val="0"/>
          <w:szCs w:val="20"/>
        </w:rPr>
      </w:pPr>
      <w:r>
        <w:rPr>
          <w:rFonts w:hint="eastAsia"/>
          <w:kern w:val="0"/>
          <w:szCs w:val="20"/>
        </w:rPr>
        <w:t>e</w:t>
      </w:r>
      <w:r>
        <w:rPr>
          <w:kern w:val="0"/>
          <w:szCs w:val="20"/>
        </w:rPr>
        <w:t>)</w:t>
      </w:r>
      <w:r>
        <w:rPr>
          <w:rFonts w:hint="eastAsia"/>
          <w:kern w:val="0"/>
          <w:szCs w:val="20"/>
        </w:rPr>
        <w:t xml:space="preserve">  </w:t>
      </w:r>
      <w:r>
        <w:rPr>
          <w:rFonts w:hint="eastAsia"/>
          <w:kern w:val="0"/>
          <w:szCs w:val="20"/>
        </w:rPr>
        <w:t>异位固化的搅拌混合可采用双轴搅拌、土壤改良机等设备，并具备水、液体、浆状和粉状等物料的投加和混合能力。</w:t>
      </w:r>
    </w:p>
    <w:p w14:paraId="4EA9EC12" w14:textId="77777777" w:rsidR="00BA1C4E" w:rsidRDefault="008E428B" w:rsidP="00316254">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7.1.3.3  关键技术参数或指标</w:t>
      </w:r>
    </w:p>
    <w:p w14:paraId="67D24993" w14:textId="02867FAF" w:rsidR="00BA1C4E" w:rsidRDefault="008E428B">
      <w:pPr>
        <w:pStyle w:val="afffffb"/>
        <w:adjustRightInd w:val="0"/>
        <w:ind w:left="420" w:firstLineChars="0" w:firstLine="0"/>
        <w:rPr>
          <w:kern w:val="0"/>
          <w:szCs w:val="20"/>
        </w:rPr>
      </w:pPr>
      <w:r>
        <w:rPr>
          <w:kern w:val="0"/>
          <w:szCs w:val="20"/>
        </w:rPr>
        <w:t>a)</w:t>
      </w:r>
      <w:r>
        <w:rPr>
          <w:rFonts w:hint="eastAsia"/>
          <w:kern w:val="0"/>
          <w:szCs w:val="20"/>
        </w:rPr>
        <w:t xml:space="preserve">  </w:t>
      </w:r>
      <w:r>
        <w:rPr>
          <w:rFonts w:hint="eastAsia"/>
          <w:kern w:val="0"/>
          <w:szCs w:val="20"/>
        </w:rPr>
        <w:t>根据小试、中试确定和优化材料和药剂配比、混合搅拌方式和工艺、预处理技术和工艺、养护方式和时间及费用，评估固化效果（选择测定土壤污染物浸出水平、无侧限抗压强度和渗透系数等参数评估中试效果）和二次污染防控措施的有效性。经处理后的固化体，其无侧限抗压强度要求大于</w:t>
      </w:r>
      <w:r>
        <w:rPr>
          <w:rFonts w:hint="eastAsia"/>
          <w:kern w:val="0"/>
          <w:szCs w:val="20"/>
        </w:rPr>
        <w:t>50psi(0.35MPa)</w:t>
      </w:r>
      <w:r>
        <w:rPr>
          <w:rFonts w:hint="eastAsia"/>
          <w:kern w:val="0"/>
          <w:szCs w:val="20"/>
        </w:rPr>
        <w:t>，而固化后用于建筑材料的无侧限抗压强度至少要求达到</w:t>
      </w:r>
      <w:r>
        <w:rPr>
          <w:rFonts w:hint="eastAsia"/>
          <w:kern w:val="0"/>
          <w:szCs w:val="20"/>
        </w:rPr>
        <w:t>4000 psi(27.58MPa)</w:t>
      </w:r>
      <w:r>
        <w:rPr>
          <w:rFonts w:hint="eastAsia"/>
          <w:kern w:val="0"/>
          <w:szCs w:val="20"/>
        </w:rPr>
        <w:t>。渗透系数表征土壤对水分流动的传导能力，经固化处理后的渗透系数一般要求不大于</w:t>
      </w:r>
      <w:r>
        <w:rPr>
          <w:rFonts w:hint="eastAsia"/>
          <w:kern w:val="0"/>
          <w:szCs w:val="20"/>
        </w:rPr>
        <w:t>1</w:t>
      </w:r>
      <w:r>
        <w:rPr>
          <w:rFonts w:hint="eastAsia"/>
          <w:kern w:val="0"/>
          <w:szCs w:val="20"/>
        </w:rPr>
        <w:t>×</w:t>
      </w:r>
      <w:r w:rsidR="005F6A07">
        <w:rPr>
          <w:rFonts w:hint="eastAsia"/>
          <w:kern w:val="0"/>
          <w:szCs w:val="20"/>
        </w:rPr>
        <w:t>10~</w:t>
      </w:r>
      <w:r>
        <w:rPr>
          <w:rFonts w:hint="eastAsia"/>
          <w:kern w:val="0"/>
          <w:szCs w:val="20"/>
        </w:rPr>
        <w:t>6 cm/s</w:t>
      </w:r>
      <w:r>
        <w:rPr>
          <w:rFonts w:hint="eastAsia"/>
          <w:kern w:val="0"/>
          <w:szCs w:val="20"/>
        </w:rPr>
        <w:t>。</w:t>
      </w:r>
    </w:p>
    <w:p w14:paraId="095D80D8" w14:textId="77777777" w:rsidR="00BA1C4E" w:rsidRDefault="008E428B">
      <w:pPr>
        <w:pStyle w:val="afffffb"/>
        <w:adjustRightInd w:val="0"/>
        <w:ind w:left="420" w:firstLineChars="0" w:firstLine="0"/>
        <w:rPr>
          <w:kern w:val="0"/>
          <w:szCs w:val="20"/>
        </w:rPr>
      </w:pPr>
      <w:r>
        <w:rPr>
          <w:rFonts w:hint="eastAsia"/>
          <w:kern w:val="0"/>
          <w:szCs w:val="20"/>
        </w:rPr>
        <w:t>b</w:t>
      </w:r>
      <w:r>
        <w:rPr>
          <w:kern w:val="0"/>
          <w:szCs w:val="20"/>
        </w:rPr>
        <w:t>)</w:t>
      </w:r>
      <w:r>
        <w:rPr>
          <w:rFonts w:hint="eastAsia"/>
          <w:kern w:val="0"/>
          <w:szCs w:val="20"/>
        </w:rPr>
        <w:t xml:space="preserve">  </w:t>
      </w:r>
      <w:r>
        <w:rPr>
          <w:kern w:val="0"/>
          <w:szCs w:val="20"/>
        </w:rPr>
        <w:t>准确测量介质与粘合剂的混合比。粘合剂可通过加水配制成浆体或糊状物使用，也可以直接以干粉的形式使用，干粉剂的使用一般只能用于浅层原位污染土壤的处理或异位土壤的修复。</w:t>
      </w:r>
    </w:p>
    <w:p w14:paraId="63249C48" w14:textId="77777777" w:rsidR="00BA1C4E" w:rsidRDefault="008E428B">
      <w:pPr>
        <w:pStyle w:val="afffffb"/>
        <w:adjustRightInd w:val="0"/>
        <w:ind w:left="420" w:firstLineChars="0" w:firstLine="0"/>
        <w:rPr>
          <w:kern w:val="0"/>
          <w:szCs w:val="20"/>
        </w:rPr>
      </w:pPr>
      <w:r>
        <w:rPr>
          <w:rFonts w:hint="eastAsia"/>
          <w:kern w:val="0"/>
          <w:szCs w:val="20"/>
        </w:rPr>
        <w:t xml:space="preserve">c)  </w:t>
      </w:r>
      <w:r>
        <w:rPr>
          <w:kern w:val="0"/>
          <w:szCs w:val="20"/>
        </w:rPr>
        <w:t>进行原位混合操作时，若土壤污染深度小于</w:t>
      </w:r>
      <w:r>
        <w:rPr>
          <w:kern w:val="0"/>
          <w:szCs w:val="20"/>
        </w:rPr>
        <w:t>6 m</w:t>
      </w:r>
      <w:r>
        <w:rPr>
          <w:kern w:val="0"/>
          <w:szCs w:val="20"/>
        </w:rPr>
        <w:t>，则应将污染区域划分为网格操作单元后再进行搅拌混合。</w:t>
      </w:r>
    </w:p>
    <w:p w14:paraId="0E8C70BE" w14:textId="77777777" w:rsidR="00BA1C4E" w:rsidRDefault="008E428B">
      <w:pPr>
        <w:pStyle w:val="afffffb"/>
        <w:adjustRightInd w:val="0"/>
        <w:ind w:left="420" w:firstLineChars="0" w:firstLine="0"/>
        <w:rPr>
          <w:kern w:val="0"/>
          <w:szCs w:val="20"/>
        </w:rPr>
      </w:pPr>
      <w:r>
        <w:rPr>
          <w:rFonts w:hint="eastAsia"/>
          <w:kern w:val="0"/>
          <w:szCs w:val="20"/>
        </w:rPr>
        <w:t>d</w:t>
      </w:r>
      <w:r>
        <w:rPr>
          <w:kern w:val="0"/>
          <w:szCs w:val="20"/>
        </w:rPr>
        <w:t>)</w:t>
      </w:r>
      <w:r>
        <w:rPr>
          <w:rFonts w:hint="eastAsia"/>
          <w:kern w:val="0"/>
          <w:szCs w:val="20"/>
        </w:rPr>
        <w:t xml:space="preserve">  </w:t>
      </w:r>
      <w:r>
        <w:rPr>
          <w:kern w:val="0"/>
          <w:szCs w:val="20"/>
        </w:rPr>
        <w:t>选用材料来源丰富，价廉易得，增容比要低。</w:t>
      </w:r>
    </w:p>
    <w:p w14:paraId="3CCDE2CB" w14:textId="77777777" w:rsidR="00BA1C4E" w:rsidRDefault="008E428B" w:rsidP="00316254">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7.1.3.4  土壤固化技术长效治理注意事项</w:t>
      </w:r>
    </w:p>
    <w:p w14:paraId="4182614F" w14:textId="77777777" w:rsidR="00BA1C4E" w:rsidRDefault="008E428B">
      <w:pPr>
        <w:adjustRightInd w:val="0"/>
        <w:ind w:firstLineChars="200" w:firstLine="420"/>
        <w:rPr>
          <w:kern w:val="0"/>
          <w:szCs w:val="20"/>
        </w:rPr>
      </w:pPr>
      <w:r>
        <w:rPr>
          <w:rFonts w:hint="eastAsia"/>
          <w:kern w:val="0"/>
          <w:szCs w:val="20"/>
        </w:rPr>
        <w:t xml:space="preserve">a)  </w:t>
      </w:r>
      <w:r>
        <w:rPr>
          <w:rFonts w:hint="eastAsia"/>
          <w:kern w:val="0"/>
          <w:szCs w:val="20"/>
        </w:rPr>
        <w:t>适宜的药剂。固化药剂的选择应根据土壤污染物种类、污染程度和土壤理化性质等指标确定，考虑用量少、高效、价格适宜等因素。固化技术以筛选胶凝材料为主，辅以稳定化药剂和外加剂的选择。该类材料主要为水泥类和火山灰（高炉矿渣和粉煤灰）类胶凝材料，高炉矿渣和粉煤灰须由水泥和石灰等引发剂引发产生水化反应。常见的胶凝材料组合包括：水泥</w:t>
      </w:r>
      <w:r>
        <w:rPr>
          <w:rFonts w:hint="eastAsia"/>
          <w:kern w:val="0"/>
          <w:szCs w:val="20"/>
        </w:rPr>
        <w:t>+</w:t>
      </w:r>
      <w:r>
        <w:rPr>
          <w:rFonts w:hint="eastAsia"/>
          <w:kern w:val="0"/>
          <w:szCs w:val="20"/>
        </w:rPr>
        <w:t>粉煤灰、水泥</w:t>
      </w:r>
      <w:r>
        <w:rPr>
          <w:rFonts w:hint="eastAsia"/>
          <w:kern w:val="0"/>
          <w:szCs w:val="20"/>
        </w:rPr>
        <w:t>+</w:t>
      </w:r>
      <w:r>
        <w:rPr>
          <w:rFonts w:hint="eastAsia"/>
          <w:kern w:val="0"/>
          <w:szCs w:val="20"/>
        </w:rPr>
        <w:t>高炉矿渣、石灰</w:t>
      </w:r>
      <w:r>
        <w:rPr>
          <w:rFonts w:hint="eastAsia"/>
          <w:kern w:val="0"/>
          <w:szCs w:val="20"/>
        </w:rPr>
        <w:t>+</w:t>
      </w:r>
      <w:r>
        <w:rPr>
          <w:rFonts w:hint="eastAsia"/>
          <w:kern w:val="0"/>
          <w:szCs w:val="20"/>
        </w:rPr>
        <w:t>粉煤灰、石灰</w:t>
      </w:r>
      <w:r>
        <w:rPr>
          <w:rFonts w:hint="eastAsia"/>
          <w:kern w:val="0"/>
          <w:szCs w:val="20"/>
        </w:rPr>
        <w:t>+</w:t>
      </w:r>
      <w:r>
        <w:rPr>
          <w:rFonts w:hint="eastAsia"/>
          <w:kern w:val="0"/>
          <w:szCs w:val="20"/>
        </w:rPr>
        <w:t>高炉矿渣、石灰</w:t>
      </w:r>
      <w:r>
        <w:rPr>
          <w:rFonts w:hint="eastAsia"/>
          <w:kern w:val="0"/>
          <w:szCs w:val="20"/>
        </w:rPr>
        <w:t>+</w:t>
      </w:r>
      <w:r>
        <w:rPr>
          <w:rFonts w:hint="eastAsia"/>
          <w:kern w:val="0"/>
          <w:szCs w:val="20"/>
        </w:rPr>
        <w:t>炉窑灰、水泥</w:t>
      </w:r>
      <w:r>
        <w:rPr>
          <w:rFonts w:hint="eastAsia"/>
          <w:kern w:val="0"/>
          <w:szCs w:val="20"/>
        </w:rPr>
        <w:t>+</w:t>
      </w:r>
      <w:r>
        <w:rPr>
          <w:rFonts w:hint="eastAsia"/>
          <w:kern w:val="0"/>
          <w:szCs w:val="20"/>
        </w:rPr>
        <w:t>石灰</w:t>
      </w:r>
      <w:r>
        <w:rPr>
          <w:rFonts w:hint="eastAsia"/>
          <w:kern w:val="0"/>
          <w:szCs w:val="20"/>
        </w:rPr>
        <w:t>+</w:t>
      </w:r>
      <w:r>
        <w:rPr>
          <w:rFonts w:hint="eastAsia"/>
          <w:kern w:val="0"/>
          <w:szCs w:val="20"/>
        </w:rPr>
        <w:t>粉煤灰、水泥</w:t>
      </w:r>
      <w:r>
        <w:rPr>
          <w:rFonts w:hint="eastAsia"/>
          <w:kern w:val="0"/>
          <w:szCs w:val="20"/>
        </w:rPr>
        <w:t>+</w:t>
      </w:r>
      <w:r>
        <w:rPr>
          <w:rFonts w:hint="eastAsia"/>
          <w:kern w:val="0"/>
          <w:szCs w:val="20"/>
        </w:rPr>
        <w:t>石灰</w:t>
      </w:r>
      <w:r>
        <w:rPr>
          <w:rFonts w:hint="eastAsia"/>
          <w:kern w:val="0"/>
          <w:szCs w:val="20"/>
        </w:rPr>
        <w:t>+</w:t>
      </w:r>
      <w:r>
        <w:rPr>
          <w:rFonts w:hint="eastAsia"/>
          <w:kern w:val="0"/>
          <w:szCs w:val="20"/>
        </w:rPr>
        <w:t>高炉矿渣、水泥</w:t>
      </w:r>
      <w:r>
        <w:rPr>
          <w:rFonts w:hint="eastAsia"/>
          <w:kern w:val="0"/>
          <w:szCs w:val="20"/>
        </w:rPr>
        <w:t>+</w:t>
      </w:r>
      <w:r>
        <w:rPr>
          <w:rFonts w:hint="eastAsia"/>
          <w:kern w:val="0"/>
          <w:szCs w:val="20"/>
        </w:rPr>
        <w:t>石灰</w:t>
      </w:r>
      <w:r>
        <w:rPr>
          <w:rFonts w:hint="eastAsia"/>
          <w:kern w:val="0"/>
          <w:szCs w:val="20"/>
        </w:rPr>
        <w:t>+</w:t>
      </w:r>
      <w:r>
        <w:rPr>
          <w:rFonts w:hint="eastAsia"/>
          <w:kern w:val="0"/>
          <w:szCs w:val="20"/>
        </w:rPr>
        <w:t>炉窑灰等。</w:t>
      </w:r>
    </w:p>
    <w:p w14:paraId="41DBEC31" w14:textId="6E09A9A4" w:rsidR="00BA1C4E" w:rsidRDefault="008E428B">
      <w:pPr>
        <w:adjustRightInd w:val="0"/>
        <w:ind w:firstLineChars="200" w:firstLine="420"/>
        <w:rPr>
          <w:kern w:val="0"/>
          <w:szCs w:val="20"/>
        </w:rPr>
      </w:pPr>
      <w:r>
        <w:rPr>
          <w:rFonts w:hint="eastAsia"/>
          <w:kern w:val="0"/>
          <w:szCs w:val="20"/>
        </w:rPr>
        <w:t>土壤的干湿、冻融过程会造成水泥固化土壤宏观结构的开裂，研发以具有延展性能力的物质（如高吸水树脂等）作为基体合成功能化材料，可以解决水泥裂隙的问题。石膏基固化剂作为基于钙矾石的重金属污染土固化新材料，其对重金属的固化效果较普通硅酸盐水泥提高</w:t>
      </w:r>
      <w:r>
        <w:rPr>
          <w:rFonts w:hint="eastAsia"/>
          <w:kern w:val="0"/>
          <w:szCs w:val="20"/>
        </w:rPr>
        <w:t>5</w:t>
      </w:r>
      <w:r w:rsidR="005F6A07">
        <w:rPr>
          <w:rFonts w:hint="eastAsia"/>
          <w:kern w:val="0"/>
          <w:szCs w:val="20"/>
        </w:rPr>
        <w:t>~</w:t>
      </w:r>
      <w:r>
        <w:rPr>
          <w:rFonts w:hint="eastAsia"/>
          <w:kern w:val="0"/>
          <w:szCs w:val="20"/>
        </w:rPr>
        <w:t>10</w:t>
      </w:r>
      <w:r>
        <w:rPr>
          <w:rFonts w:hint="eastAsia"/>
          <w:kern w:val="0"/>
          <w:szCs w:val="20"/>
        </w:rPr>
        <w:t>倍。</w:t>
      </w:r>
    </w:p>
    <w:p w14:paraId="2D00DB22" w14:textId="556785F9" w:rsidR="00BA1C4E" w:rsidRDefault="008E428B">
      <w:pPr>
        <w:adjustRightInd w:val="0"/>
        <w:ind w:firstLineChars="200" w:firstLine="420"/>
        <w:rPr>
          <w:kern w:val="0"/>
          <w:szCs w:val="20"/>
        </w:rPr>
      </w:pPr>
      <w:r>
        <w:rPr>
          <w:kern w:val="0"/>
          <w:szCs w:val="20"/>
        </w:rPr>
        <w:t xml:space="preserve">b)  </w:t>
      </w:r>
      <w:r>
        <w:rPr>
          <w:rFonts w:hint="eastAsia"/>
          <w:kern w:val="0"/>
          <w:szCs w:val="20"/>
        </w:rPr>
        <w:t>最佳投加比。试验确定适用固化药剂的最佳投加比，常用范围宜为</w:t>
      </w:r>
      <w:r>
        <w:rPr>
          <w:kern w:val="0"/>
          <w:szCs w:val="20"/>
        </w:rPr>
        <w:t>3</w:t>
      </w:r>
      <w:r>
        <w:rPr>
          <w:rFonts w:hint="eastAsia"/>
          <w:kern w:val="0"/>
          <w:szCs w:val="20"/>
        </w:rPr>
        <w:t>%</w:t>
      </w:r>
      <w:r w:rsidR="0092311F">
        <w:rPr>
          <w:rFonts w:hint="eastAsia"/>
          <w:kern w:val="0"/>
          <w:szCs w:val="20"/>
        </w:rPr>
        <w:t>~</w:t>
      </w:r>
      <w:r>
        <w:rPr>
          <w:rFonts w:hint="eastAsia"/>
          <w:kern w:val="0"/>
          <w:szCs w:val="20"/>
        </w:rPr>
        <w:t>10.0%</w:t>
      </w:r>
      <w:r>
        <w:rPr>
          <w:rFonts w:hint="eastAsia"/>
          <w:kern w:val="0"/>
          <w:szCs w:val="20"/>
        </w:rPr>
        <w:t>。添加较多的固化剂时，对土壤的增容效应较大，会显著增加后续土壤处置费用。。</w:t>
      </w:r>
    </w:p>
    <w:p w14:paraId="14E37E32" w14:textId="2DB6115E" w:rsidR="00BA1C4E" w:rsidRDefault="008E428B">
      <w:pPr>
        <w:adjustRightInd w:val="0"/>
        <w:ind w:firstLineChars="200" w:firstLine="420"/>
        <w:rPr>
          <w:kern w:val="0"/>
          <w:szCs w:val="20"/>
        </w:rPr>
      </w:pPr>
      <w:r>
        <w:rPr>
          <w:rFonts w:hint="eastAsia"/>
          <w:kern w:val="0"/>
          <w:szCs w:val="20"/>
        </w:rPr>
        <w:t>c</w:t>
      </w:r>
      <w:r>
        <w:rPr>
          <w:kern w:val="0"/>
          <w:szCs w:val="20"/>
        </w:rPr>
        <w:t xml:space="preserve">)  </w:t>
      </w:r>
      <w:r>
        <w:rPr>
          <w:rFonts w:hint="eastAsia"/>
          <w:kern w:val="0"/>
          <w:szCs w:val="20"/>
        </w:rPr>
        <w:t>土壤破碎程度。土壤破碎程度大有利于后续与固化剂的充分混合接触，一般要求土壤颗粒最大的尺寸不宜大于</w:t>
      </w:r>
      <w:r>
        <w:rPr>
          <w:rFonts w:hint="eastAsia"/>
          <w:kern w:val="0"/>
          <w:szCs w:val="20"/>
        </w:rPr>
        <w:t>5 cm</w:t>
      </w:r>
      <w:r>
        <w:rPr>
          <w:rFonts w:hint="eastAsia"/>
          <w:kern w:val="0"/>
          <w:szCs w:val="20"/>
        </w:rPr>
        <w:t>。土壤中砂粒和砾粒含量较多时，宜采用减量化措施。可以采用多级筛等设备按粒径分级除去</w:t>
      </w:r>
      <w:r w:rsidR="0092311F">
        <w:rPr>
          <w:rFonts w:hint="eastAsia"/>
          <w:kern w:val="0"/>
          <w:szCs w:val="20"/>
        </w:rPr>
        <w:t>0.5 mm</w:t>
      </w:r>
      <w:r>
        <w:rPr>
          <w:rFonts w:hint="eastAsia"/>
          <w:kern w:val="0"/>
          <w:szCs w:val="20"/>
        </w:rPr>
        <w:t>以上的砂粒和砾粒，或</w:t>
      </w:r>
      <w:r>
        <w:rPr>
          <w:rFonts w:hint="eastAsia"/>
          <w:kern w:val="0"/>
          <w:szCs w:val="20"/>
        </w:rPr>
        <w:t xml:space="preserve"> 2</w:t>
      </w:r>
      <w:r>
        <w:rPr>
          <w:kern w:val="0"/>
          <w:szCs w:val="20"/>
        </w:rPr>
        <w:t xml:space="preserve"> </w:t>
      </w:r>
      <w:r w:rsidR="0092311F">
        <w:rPr>
          <w:rFonts w:hint="eastAsia"/>
          <w:kern w:val="0"/>
          <w:szCs w:val="20"/>
        </w:rPr>
        <w:t>mm</w:t>
      </w:r>
      <w:r>
        <w:rPr>
          <w:rFonts w:hint="eastAsia"/>
          <w:kern w:val="0"/>
          <w:szCs w:val="20"/>
        </w:rPr>
        <w:t>以上的砾。</w:t>
      </w:r>
    </w:p>
    <w:p w14:paraId="766D0BA5" w14:textId="77777777" w:rsidR="00BA1C4E" w:rsidRDefault="008E428B">
      <w:pPr>
        <w:adjustRightInd w:val="0"/>
        <w:ind w:firstLineChars="200" w:firstLine="420"/>
        <w:rPr>
          <w:kern w:val="0"/>
          <w:szCs w:val="20"/>
        </w:rPr>
      </w:pPr>
      <w:r>
        <w:rPr>
          <w:rFonts w:hint="eastAsia"/>
          <w:kern w:val="0"/>
          <w:szCs w:val="20"/>
        </w:rPr>
        <w:t>d</w:t>
      </w:r>
      <w:r>
        <w:rPr>
          <w:kern w:val="0"/>
          <w:szCs w:val="20"/>
        </w:rPr>
        <w:t>)</w:t>
      </w:r>
      <w:r>
        <w:rPr>
          <w:rFonts w:hint="eastAsia"/>
          <w:kern w:val="0"/>
          <w:szCs w:val="20"/>
        </w:rPr>
        <w:t xml:space="preserve">  </w:t>
      </w:r>
      <w:r>
        <w:rPr>
          <w:rFonts w:hint="eastAsia"/>
          <w:kern w:val="0"/>
          <w:szCs w:val="20"/>
        </w:rPr>
        <w:t>含水率。宜保持土壤含水率为</w:t>
      </w:r>
      <w:r>
        <w:rPr>
          <w:kern w:val="0"/>
          <w:szCs w:val="20"/>
        </w:rPr>
        <w:t>30</w:t>
      </w:r>
      <w:r>
        <w:rPr>
          <w:rFonts w:hint="eastAsia"/>
          <w:kern w:val="0"/>
          <w:szCs w:val="20"/>
        </w:rPr>
        <w:t>%</w:t>
      </w:r>
      <w:r>
        <w:rPr>
          <w:rFonts w:hint="eastAsia"/>
          <w:kern w:val="0"/>
          <w:szCs w:val="20"/>
        </w:rPr>
        <w:t>。</w:t>
      </w:r>
    </w:p>
    <w:p w14:paraId="50649DB8" w14:textId="77777777" w:rsidR="00BA1C4E" w:rsidRDefault="008E428B">
      <w:pPr>
        <w:adjustRightInd w:val="0"/>
        <w:ind w:firstLineChars="200" w:firstLine="420"/>
        <w:rPr>
          <w:kern w:val="0"/>
          <w:szCs w:val="20"/>
        </w:rPr>
      </w:pPr>
      <w:r>
        <w:rPr>
          <w:rFonts w:hint="eastAsia"/>
          <w:kern w:val="0"/>
          <w:szCs w:val="20"/>
        </w:rPr>
        <w:t>e</w:t>
      </w:r>
      <w:r>
        <w:rPr>
          <w:kern w:val="0"/>
          <w:szCs w:val="20"/>
        </w:rPr>
        <w:t>)</w:t>
      </w:r>
      <w:r>
        <w:rPr>
          <w:rFonts w:hint="eastAsia"/>
          <w:kern w:val="0"/>
          <w:szCs w:val="20"/>
        </w:rPr>
        <w:t xml:space="preserve">  </w:t>
      </w:r>
      <w:r>
        <w:rPr>
          <w:rFonts w:hint="eastAsia"/>
          <w:kern w:val="0"/>
          <w:szCs w:val="20"/>
        </w:rPr>
        <w:t>充分混匀。可借助搅拌混匀设备开展精细化施工，混合越均匀稳定化效果越好。</w:t>
      </w:r>
    </w:p>
    <w:p w14:paraId="3F038186" w14:textId="77777777" w:rsidR="00BA1C4E" w:rsidRDefault="008E428B">
      <w:pPr>
        <w:adjustRightInd w:val="0"/>
        <w:ind w:firstLineChars="200" w:firstLine="420"/>
        <w:rPr>
          <w:kern w:val="0"/>
          <w:szCs w:val="20"/>
        </w:rPr>
      </w:pPr>
      <w:r>
        <w:rPr>
          <w:kern w:val="0"/>
          <w:szCs w:val="20"/>
        </w:rPr>
        <w:t>f)</w:t>
      </w:r>
      <w:r>
        <w:rPr>
          <w:rFonts w:hint="eastAsia"/>
          <w:kern w:val="0"/>
          <w:szCs w:val="20"/>
        </w:rPr>
        <w:t xml:space="preserve">  </w:t>
      </w:r>
      <w:r>
        <w:rPr>
          <w:rFonts w:hint="eastAsia"/>
          <w:kern w:val="0"/>
          <w:szCs w:val="20"/>
        </w:rPr>
        <w:t>土壤环境条件。土壤干湿交替或冻融循环容易造成固化体裂隙，在固化技术的应用设计和后期监测时应重点加以考虑。</w:t>
      </w:r>
    </w:p>
    <w:p w14:paraId="048CB7D1" w14:textId="22369950" w:rsidR="00BA1C4E" w:rsidRDefault="008E428B">
      <w:pPr>
        <w:adjustRightInd w:val="0"/>
        <w:ind w:firstLineChars="200" w:firstLine="420"/>
        <w:rPr>
          <w:kern w:val="0"/>
          <w:szCs w:val="20"/>
        </w:rPr>
      </w:pPr>
      <w:r>
        <w:rPr>
          <w:kern w:val="0"/>
          <w:szCs w:val="20"/>
        </w:rPr>
        <w:t xml:space="preserve">g)  </w:t>
      </w:r>
      <w:r>
        <w:rPr>
          <w:rFonts w:hint="eastAsia"/>
          <w:kern w:val="0"/>
          <w:szCs w:val="20"/>
        </w:rPr>
        <w:t>养护时间。固化后的土壤应在初凝前完成成型，一般宜在</w:t>
      </w:r>
      <w:r w:rsidR="0092311F">
        <w:rPr>
          <w:rFonts w:hint="eastAsia"/>
          <w:kern w:val="0"/>
          <w:szCs w:val="20"/>
        </w:rPr>
        <w:t xml:space="preserve"> 8 h</w:t>
      </w:r>
      <w:r>
        <w:rPr>
          <w:rFonts w:hint="eastAsia"/>
          <w:kern w:val="0"/>
          <w:szCs w:val="20"/>
        </w:rPr>
        <w:t>内。固化初凝成型完成后应进行养护，将固化体用薄膜、草席等覆盖，保持表面潮湿。养护时间一般不少于</w:t>
      </w:r>
      <w:r>
        <w:rPr>
          <w:rFonts w:hint="eastAsia"/>
          <w:kern w:val="0"/>
          <w:szCs w:val="20"/>
        </w:rPr>
        <w:t xml:space="preserve"> 14 d</w:t>
      </w:r>
      <w:r>
        <w:rPr>
          <w:rFonts w:hint="eastAsia"/>
          <w:kern w:val="0"/>
          <w:szCs w:val="20"/>
        </w:rPr>
        <w:t>，具体养护时间根据胶凝材料、外加剂和环境湿度等确定，石灰固化体强度低，需延长养护时间。当昼夜平均气温小于</w:t>
      </w:r>
      <w:r>
        <w:rPr>
          <w:rFonts w:hint="eastAsia"/>
          <w:kern w:val="0"/>
          <w:szCs w:val="20"/>
        </w:rPr>
        <w:t xml:space="preserve">5 </w:t>
      </w:r>
      <w:r>
        <w:rPr>
          <w:rFonts w:hint="eastAsia"/>
          <w:kern w:val="0"/>
          <w:szCs w:val="20"/>
        </w:rPr>
        <w:t>℃或最低气温小于</w:t>
      </w:r>
      <w:r>
        <w:rPr>
          <w:rFonts w:ascii="宋体" w:hAnsi="宋体" w:hint="eastAsia"/>
          <w:kern w:val="0"/>
          <w:szCs w:val="20"/>
        </w:rPr>
        <w:t>-</w:t>
      </w:r>
      <w:r>
        <w:rPr>
          <w:kern w:val="0"/>
          <w:szCs w:val="20"/>
        </w:rPr>
        <w:t>3</w:t>
      </w:r>
      <w:r>
        <w:rPr>
          <w:rFonts w:hint="eastAsia"/>
          <w:kern w:val="0"/>
          <w:szCs w:val="20"/>
        </w:rPr>
        <w:t xml:space="preserve"> </w:t>
      </w:r>
      <w:r>
        <w:rPr>
          <w:rFonts w:hint="eastAsia"/>
          <w:kern w:val="0"/>
          <w:szCs w:val="20"/>
        </w:rPr>
        <w:t>℃，可采用蒸汽等养护方式。</w:t>
      </w:r>
    </w:p>
    <w:p w14:paraId="25748101" w14:textId="77777777" w:rsidR="00BA1C4E" w:rsidRDefault="008E428B">
      <w:pPr>
        <w:adjustRightInd w:val="0"/>
        <w:ind w:firstLineChars="200" w:firstLine="420"/>
        <w:rPr>
          <w:kern w:val="0"/>
          <w:szCs w:val="20"/>
        </w:rPr>
      </w:pPr>
      <w:r>
        <w:rPr>
          <w:kern w:val="0"/>
          <w:szCs w:val="20"/>
        </w:rPr>
        <w:t xml:space="preserve">h)  </w:t>
      </w:r>
      <w:r>
        <w:rPr>
          <w:rFonts w:hint="eastAsia"/>
          <w:kern w:val="0"/>
          <w:szCs w:val="20"/>
        </w:rPr>
        <w:t>长效性评价。固化技术并没有将重金属从土壤中移除，应定期对其工程措施的完整性进行检查。原位固化采用柱浸出或块状体槽浸出试验评估材料的长效性，及时调整或补充固化材料以保证治理效果的长效性。</w:t>
      </w:r>
    </w:p>
    <w:p w14:paraId="0185C00F" w14:textId="77777777" w:rsidR="00BA1C4E" w:rsidRDefault="008E428B">
      <w:pPr>
        <w:pStyle w:val="a1"/>
        <w:numPr>
          <w:ilvl w:val="0"/>
          <w:numId w:val="0"/>
        </w:numPr>
        <w:spacing w:before="156" w:after="156"/>
        <w:rPr>
          <w:color w:val="000000"/>
        </w:rPr>
      </w:pPr>
      <w:bookmarkStart w:id="199" w:name="_Toc140993879"/>
      <w:r>
        <w:rPr>
          <w:rFonts w:hint="eastAsia"/>
          <w:color w:val="000000"/>
        </w:rPr>
        <w:lastRenderedPageBreak/>
        <w:t>7.1.4  土壤</w:t>
      </w:r>
      <w:r>
        <w:rPr>
          <w:color w:val="000000"/>
        </w:rPr>
        <w:t>阻隔填埋技术</w:t>
      </w:r>
      <w:bookmarkEnd w:id="199"/>
    </w:p>
    <w:p w14:paraId="0325B7E0" w14:textId="77777777" w:rsidR="00BA1C4E" w:rsidRDefault="008E428B">
      <w:pPr>
        <w:adjustRightInd w:val="0"/>
        <w:ind w:firstLineChars="200" w:firstLine="420"/>
        <w:rPr>
          <w:kern w:val="0"/>
          <w:szCs w:val="20"/>
        </w:rPr>
      </w:pPr>
      <w:r>
        <w:rPr>
          <w:rFonts w:hint="eastAsia"/>
          <w:kern w:val="0"/>
          <w:szCs w:val="20"/>
        </w:rPr>
        <w:t>将污染土壤或经过治理后的土壤置于防渗阻隔填埋场内，或通过敷设阻隔层阻断土壤中污染物迁移扩散的途径，使污染土壤与四周环境隔离，避免污染物与人体接触和随土壤水迁移进而对人体和周围环境造成危害。</w:t>
      </w:r>
    </w:p>
    <w:p w14:paraId="590BB73C" w14:textId="77777777" w:rsidR="00BA1C4E" w:rsidRDefault="008E428B" w:rsidP="00316254">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 xml:space="preserve">7.1.4.1  </w:t>
      </w:r>
      <w:r>
        <w:rPr>
          <w:rFonts w:ascii="黑体" w:eastAsia="黑体"/>
          <w:color w:val="000000"/>
          <w:kern w:val="0"/>
          <w:szCs w:val="21"/>
        </w:rPr>
        <w:t>适用条件及</w:t>
      </w:r>
      <w:r>
        <w:rPr>
          <w:rFonts w:ascii="黑体" w:eastAsia="黑体" w:hint="eastAsia"/>
          <w:color w:val="000000"/>
          <w:kern w:val="0"/>
          <w:szCs w:val="21"/>
        </w:rPr>
        <w:t>特</w:t>
      </w:r>
      <w:r>
        <w:rPr>
          <w:rFonts w:ascii="黑体" w:eastAsia="黑体"/>
          <w:color w:val="000000"/>
          <w:kern w:val="0"/>
          <w:szCs w:val="21"/>
        </w:rPr>
        <w:t>点</w:t>
      </w:r>
    </w:p>
    <w:p w14:paraId="31815A3D" w14:textId="3C76CC6D" w:rsidR="00BA1C4E" w:rsidRDefault="008E428B">
      <w:pPr>
        <w:adjustRightInd w:val="0"/>
        <w:ind w:firstLineChars="200" w:firstLine="420"/>
        <w:rPr>
          <w:color w:val="000000" w:themeColor="text1"/>
          <w:kern w:val="0"/>
          <w:szCs w:val="20"/>
        </w:rPr>
      </w:pPr>
      <w:r>
        <w:rPr>
          <w:color w:val="000000" w:themeColor="text1"/>
          <w:kern w:val="0"/>
          <w:szCs w:val="20"/>
        </w:rPr>
        <w:t>适用于重</w:t>
      </w:r>
      <w:r>
        <w:rPr>
          <w:rFonts w:hint="eastAsia"/>
          <w:color w:val="000000" w:themeColor="text1"/>
          <w:kern w:val="0"/>
          <w:szCs w:val="20"/>
        </w:rPr>
        <w:t>度重金属复合</w:t>
      </w:r>
      <w:r>
        <w:rPr>
          <w:color w:val="000000" w:themeColor="text1"/>
          <w:kern w:val="0"/>
          <w:szCs w:val="20"/>
        </w:rPr>
        <w:t>污染的</w:t>
      </w:r>
      <w:r>
        <w:rPr>
          <w:rFonts w:hint="eastAsia"/>
          <w:color w:val="000000" w:themeColor="text1"/>
          <w:kern w:val="0"/>
          <w:szCs w:val="20"/>
        </w:rPr>
        <w:t>场地</w:t>
      </w:r>
      <w:r>
        <w:rPr>
          <w:color w:val="000000" w:themeColor="text1"/>
          <w:kern w:val="0"/>
          <w:szCs w:val="20"/>
        </w:rPr>
        <w:t>土壤，处理时间短，有效阻止污染物在土壤与水间的接触迁移。</w:t>
      </w:r>
      <w:r>
        <w:rPr>
          <w:rFonts w:hint="eastAsia"/>
          <w:color w:val="000000" w:themeColor="text1"/>
          <w:kern w:val="0"/>
          <w:szCs w:val="20"/>
        </w:rPr>
        <w:t>不宜用于污染物水溶性强或渗透率高的污染土壤，不适用于地质活动频繁和地下水水位较高的地区。处理周期较短，阻隔填埋技术在运行维护阶段需要的设备相对较少。国内处理成本为</w:t>
      </w:r>
      <w:r>
        <w:rPr>
          <w:rFonts w:hint="eastAsia"/>
          <w:color w:val="000000" w:themeColor="text1"/>
          <w:kern w:val="0"/>
          <w:szCs w:val="20"/>
        </w:rPr>
        <w:t>300</w:t>
      </w:r>
      <w:r w:rsidR="0092311F">
        <w:rPr>
          <w:rFonts w:hint="eastAsia"/>
          <w:color w:val="000000" w:themeColor="text1"/>
          <w:kern w:val="0"/>
          <w:szCs w:val="20"/>
        </w:rPr>
        <w:t>~</w:t>
      </w:r>
      <w:r>
        <w:rPr>
          <w:rFonts w:hint="eastAsia"/>
          <w:color w:val="000000" w:themeColor="text1"/>
          <w:kern w:val="0"/>
          <w:szCs w:val="20"/>
        </w:rPr>
        <w:t>800</w:t>
      </w:r>
      <w:r>
        <w:rPr>
          <w:rFonts w:hint="eastAsia"/>
          <w:color w:val="000000" w:themeColor="text1"/>
          <w:kern w:val="0"/>
          <w:szCs w:val="20"/>
        </w:rPr>
        <w:t>元</w:t>
      </w:r>
      <w:r>
        <w:rPr>
          <w:rFonts w:hint="eastAsia"/>
          <w:color w:val="000000" w:themeColor="text1"/>
          <w:kern w:val="0"/>
          <w:szCs w:val="20"/>
        </w:rPr>
        <w:t>/m</w:t>
      </w:r>
      <w:r>
        <w:rPr>
          <w:rFonts w:hint="eastAsia"/>
          <w:color w:val="000000" w:themeColor="text1"/>
          <w:kern w:val="0"/>
          <w:szCs w:val="20"/>
          <w:vertAlign w:val="superscript"/>
        </w:rPr>
        <w:t>3</w:t>
      </w:r>
      <w:r>
        <w:rPr>
          <w:rFonts w:hint="eastAsia"/>
          <w:color w:val="000000" w:themeColor="text1"/>
          <w:kern w:val="0"/>
          <w:szCs w:val="20"/>
        </w:rPr>
        <w:t>。</w:t>
      </w:r>
    </w:p>
    <w:p w14:paraId="4A6FB4CB" w14:textId="77777777" w:rsidR="00BA1C4E" w:rsidRDefault="008E428B" w:rsidP="00316254">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7.1.4.2  技术构成和主要设备</w:t>
      </w:r>
    </w:p>
    <w:p w14:paraId="3A77B965" w14:textId="77777777" w:rsidR="00BA1C4E" w:rsidRDefault="008E428B">
      <w:pPr>
        <w:adjustRightInd w:val="0"/>
        <w:ind w:firstLineChars="200" w:firstLine="420"/>
        <w:rPr>
          <w:kern w:val="0"/>
          <w:szCs w:val="20"/>
        </w:rPr>
      </w:pPr>
      <w:r>
        <w:rPr>
          <w:kern w:val="0"/>
          <w:szCs w:val="20"/>
        </w:rPr>
        <w:t xml:space="preserve">a)  </w:t>
      </w:r>
      <w:r>
        <w:rPr>
          <w:rFonts w:hint="eastAsia"/>
          <w:kern w:val="0"/>
          <w:szCs w:val="20"/>
        </w:rPr>
        <w:t>原位土壤阻隔覆盖系统主要由土壤阻隔系统、土壤覆盖系统、监测系统组成。异位土壤阻隔填埋系统主要由土壤预处理系统、填埋场防渗阻隔系统、渗滤液收集系统、封场系统、排水系统、监测系统组成。</w:t>
      </w:r>
    </w:p>
    <w:p w14:paraId="1E1035E1" w14:textId="77777777" w:rsidR="00BA1C4E" w:rsidRDefault="008E428B">
      <w:pPr>
        <w:adjustRightInd w:val="0"/>
        <w:ind w:firstLineChars="200" w:firstLine="420"/>
        <w:rPr>
          <w:kern w:val="0"/>
          <w:szCs w:val="20"/>
        </w:rPr>
      </w:pPr>
      <w:r>
        <w:rPr>
          <w:rFonts w:hint="eastAsia"/>
          <w:kern w:val="0"/>
          <w:szCs w:val="20"/>
        </w:rPr>
        <w:t xml:space="preserve">b)  </w:t>
      </w:r>
      <w:r>
        <w:rPr>
          <w:rFonts w:hint="eastAsia"/>
          <w:kern w:val="0"/>
          <w:szCs w:val="20"/>
        </w:rPr>
        <w:t>阻隔填埋技术施工阶段涉及大量的施工工程设备，土壤阻隔系统施工需冲击钻、液压式抓斗、液压双轮铣槽机等设备，土壤覆盖系统施工需要挖掘机、推土机等设备。填埋场防渗阻隔系统施工需要吊装设备、挖掘机、焊膜机等设备，异位土壤填埋施工需要装载机、压实机、推土机等设备。填埋封场系统施工需要吊装设备、焊膜机、挖掘机等设备。异位阻隔填埋土壤预处理系统需要破碎、筛分设备、土壤改良机等设备。</w:t>
      </w:r>
    </w:p>
    <w:p w14:paraId="6EEFB893" w14:textId="77777777" w:rsidR="00BA1C4E" w:rsidRDefault="008E428B" w:rsidP="00316254">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7.1.4.3  关键技术参数或指标</w:t>
      </w:r>
    </w:p>
    <w:p w14:paraId="7D88D64F" w14:textId="4AF2D43D" w:rsidR="00BA1C4E" w:rsidRDefault="008E428B">
      <w:pPr>
        <w:adjustRightInd w:val="0"/>
        <w:ind w:firstLineChars="200" w:firstLine="420"/>
        <w:rPr>
          <w:color w:val="000000" w:themeColor="text1"/>
          <w:kern w:val="0"/>
          <w:szCs w:val="20"/>
        </w:rPr>
      </w:pPr>
      <w:r>
        <w:rPr>
          <w:rFonts w:hint="eastAsia"/>
          <w:color w:val="000000" w:themeColor="text1"/>
          <w:kern w:val="0"/>
          <w:szCs w:val="20"/>
        </w:rPr>
        <w:t xml:space="preserve">a)  </w:t>
      </w:r>
      <w:r>
        <w:rPr>
          <w:rFonts w:hint="eastAsia"/>
          <w:color w:val="000000" w:themeColor="text1"/>
          <w:kern w:val="0"/>
          <w:szCs w:val="20"/>
        </w:rPr>
        <w:t>影响原位土壤阻隔覆盖技术修复效果的关键技术参数包括：阻隔材料的性能、阻隔系统深度、土壤覆盖层厚度等。阻隔材料渗透系数要小于</w:t>
      </w:r>
      <w:r>
        <w:rPr>
          <w:rFonts w:hint="eastAsia"/>
          <w:color w:val="000000" w:themeColor="text1"/>
          <w:kern w:val="0"/>
          <w:szCs w:val="20"/>
        </w:rPr>
        <w:t>10</w:t>
      </w:r>
      <w:r>
        <w:rPr>
          <w:rFonts w:hint="eastAsia"/>
          <w:color w:val="000000" w:themeColor="text1"/>
          <w:kern w:val="0"/>
          <w:szCs w:val="20"/>
          <w:vertAlign w:val="superscript"/>
        </w:rPr>
        <w:t>-7</w:t>
      </w:r>
      <w:r>
        <w:rPr>
          <w:rFonts w:hint="eastAsia"/>
          <w:color w:val="000000" w:themeColor="text1"/>
          <w:kern w:val="0"/>
          <w:szCs w:val="20"/>
        </w:rPr>
        <w:t> cm/s</w:t>
      </w:r>
      <w:r>
        <w:rPr>
          <w:rFonts w:hint="eastAsia"/>
          <w:color w:val="000000" w:themeColor="text1"/>
          <w:kern w:val="0"/>
          <w:szCs w:val="20"/>
        </w:rPr>
        <w:t>，阻隔材料要具有极高的抗腐蚀性、抗老化性，具有强抵抗紫外线能力，使用寿命</w:t>
      </w:r>
      <w:r>
        <w:rPr>
          <w:rFonts w:hint="eastAsia"/>
          <w:color w:val="000000" w:themeColor="text1"/>
          <w:kern w:val="0"/>
          <w:szCs w:val="20"/>
        </w:rPr>
        <w:t xml:space="preserve">100 </w:t>
      </w:r>
      <w:r w:rsidR="00D34684">
        <w:rPr>
          <w:rFonts w:hint="eastAsia"/>
          <w:color w:val="000000" w:themeColor="text1"/>
          <w:kern w:val="0"/>
          <w:szCs w:val="20"/>
        </w:rPr>
        <w:t>年</w:t>
      </w:r>
      <w:r>
        <w:rPr>
          <w:rFonts w:hint="eastAsia"/>
          <w:color w:val="000000" w:themeColor="text1"/>
          <w:kern w:val="0"/>
          <w:szCs w:val="20"/>
        </w:rPr>
        <w:t>以上，无毒无害。阻隔材料应确保阻隔系统连续、均匀、无渗漏。通常阻隔系统要阻隔到不透水层或弱透水层。土壤覆盖厚度，对于粘土层通常要求厚度大于</w:t>
      </w:r>
      <w:r>
        <w:rPr>
          <w:rFonts w:hint="eastAsia"/>
          <w:color w:val="000000" w:themeColor="text1"/>
          <w:kern w:val="0"/>
          <w:szCs w:val="20"/>
        </w:rPr>
        <w:t>300 mm</w:t>
      </w:r>
      <w:r>
        <w:rPr>
          <w:rFonts w:hint="eastAsia"/>
          <w:color w:val="000000" w:themeColor="text1"/>
          <w:kern w:val="0"/>
          <w:szCs w:val="20"/>
        </w:rPr>
        <w:t>，且经机械压实后的饱和渗透系数小于</w:t>
      </w:r>
      <w:r>
        <w:rPr>
          <w:rFonts w:hint="eastAsia"/>
          <w:color w:val="000000" w:themeColor="text1"/>
          <w:kern w:val="0"/>
          <w:szCs w:val="20"/>
        </w:rPr>
        <w:t>10</w:t>
      </w:r>
      <w:r>
        <w:rPr>
          <w:rFonts w:hint="eastAsia"/>
          <w:color w:val="000000" w:themeColor="text1"/>
          <w:kern w:val="0"/>
          <w:szCs w:val="20"/>
          <w:vertAlign w:val="superscript"/>
        </w:rPr>
        <w:t>-7</w:t>
      </w:r>
      <w:r>
        <w:rPr>
          <w:rFonts w:hint="eastAsia"/>
          <w:color w:val="000000" w:themeColor="text1"/>
          <w:kern w:val="0"/>
          <w:szCs w:val="20"/>
        </w:rPr>
        <w:t> cm/s</w:t>
      </w:r>
      <w:r>
        <w:rPr>
          <w:rFonts w:hint="eastAsia"/>
          <w:color w:val="000000" w:themeColor="text1"/>
          <w:kern w:val="0"/>
          <w:szCs w:val="20"/>
        </w:rPr>
        <w:t>；对于人工合成材料衬层，满足</w:t>
      </w:r>
      <w:r>
        <w:rPr>
          <w:rFonts w:hint="eastAsia"/>
          <w:color w:val="000000" w:themeColor="text1"/>
          <w:kern w:val="0"/>
          <w:szCs w:val="20"/>
        </w:rPr>
        <w:t>CJ/T 234</w:t>
      </w:r>
      <w:r>
        <w:rPr>
          <w:rFonts w:hint="eastAsia"/>
          <w:color w:val="000000" w:themeColor="text1"/>
          <w:kern w:val="0"/>
          <w:szCs w:val="20"/>
        </w:rPr>
        <w:t>相关要求。</w:t>
      </w:r>
    </w:p>
    <w:p w14:paraId="05929F18" w14:textId="1E57F196" w:rsidR="00BA1C4E" w:rsidRDefault="008E428B">
      <w:pPr>
        <w:adjustRightInd w:val="0"/>
        <w:ind w:firstLineChars="200" w:firstLine="420"/>
        <w:rPr>
          <w:color w:val="000000" w:themeColor="text1"/>
          <w:kern w:val="0"/>
          <w:szCs w:val="20"/>
        </w:rPr>
      </w:pPr>
      <w:r>
        <w:rPr>
          <w:rFonts w:hint="eastAsia"/>
          <w:color w:val="000000" w:themeColor="text1"/>
          <w:kern w:val="0"/>
          <w:szCs w:val="20"/>
        </w:rPr>
        <w:t xml:space="preserve">b)  </w:t>
      </w:r>
      <w:r>
        <w:rPr>
          <w:rFonts w:hint="eastAsia"/>
          <w:color w:val="000000" w:themeColor="text1"/>
          <w:kern w:val="0"/>
          <w:szCs w:val="20"/>
        </w:rPr>
        <w:t>影响异位土壤阻隔填埋技术修复效果的关键技术参数包括：防渗阻隔填埋场的防渗阻隔效果及填埋的抗压强度、污染土壤的浸出浓度、土壤含水率等。阻隔防渗填埋场通常是由压实粘土层、钠基膨润土垫层（</w:t>
      </w:r>
      <w:r>
        <w:rPr>
          <w:rFonts w:hint="eastAsia"/>
          <w:color w:val="000000" w:themeColor="text1"/>
          <w:kern w:val="0"/>
          <w:szCs w:val="20"/>
        </w:rPr>
        <w:t>GCL</w:t>
      </w:r>
      <w:r>
        <w:rPr>
          <w:rFonts w:hint="eastAsia"/>
          <w:color w:val="000000" w:themeColor="text1"/>
          <w:kern w:val="0"/>
          <w:szCs w:val="20"/>
        </w:rPr>
        <w:t>）和</w:t>
      </w:r>
      <w:r>
        <w:rPr>
          <w:rFonts w:hint="eastAsia"/>
          <w:color w:val="000000" w:themeColor="text1"/>
          <w:kern w:val="0"/>
          <w:szCs w:val="20"/>
        </w:rPr>
        <w:t xml:space="preserve">HDPE </w:t>
      </w:r>
      <w:r>
        <w:rPr>
          <w:rFonts w:hint="eastAsia"/>
          <w:color w:val="000000" w:themeColor="text1"/>
          <w:kern w:val="0"/>
          <w:szCs w:val="20"/>
        </w:rPr>
        <w:t>膜组成，该阻隔防渗填埋场的防渗阻隔系数</w:t>
      </w:r>
      <w:r w:rsidR="00D47D01">
        <w:rPr>
          <w:rFonts w:hint="eastAsia"/>
          <w:color w:val="000000" w:themeColor="text1"/>
          <w:kern w:val="0"/>
          <w:szCs w:val="20"/>
        </w:rPr>
        <w:t>宜</w:t>
      </w:r>
      <w:r>
        <w:rPr>
          <w:rFonts w:hint="eastAsia"/>
          <w:color w:val="000000" w:themeColor="text1"/>
          <w:kern w:val="0"/>
          <w:szCs w:val="20"/>
        </w:rPr>
        <w:t>小于</w:t>
      </w:r>
      <w:r>
        <w:rPr>
          <w:rFonts w:hint="eastAsia"/>
          <w:color w:val="000000" w:themeColor="text1"/>
          <w:kern w:val="0"/>
          <w:szCs w:val="20"/>
        </w:rPr>
        <w:t>10</w:t>
      </w:r>
      <w:r>
        <w:rPr>
          <w:rFonts w:hint="eastAsia"/>
          <w:color w:val="000000" w:themeColor="text1"/>
          <w:kern w:val="0"/>
          <w:szCs w:val="20"/>
          <w:vertAlign w:val="superscript"/>
        </w:rPr>
        <w:t>-7</w:t>
      </w:r>
      <w:r>
        <w:rPr>
          <w:color w:val="000000" w:themeColor="text1"/>
          <w:kern w:val="0"/>
          <w:szCs w:val="20"/>
        </w:rPr>
        <w:t xml:space="preserve"> </w:t>
      </w:r>
      <w:r>
        <w:rPr>
          <w:rFonts w:hint="eastAsia"/>
          <w:color w:val="000000" w:themeColor="text1"/>
          <w:kern w:val="0"/>
          <w:szCs w:val="20"/>
        </w:rPr>
        <w:t>cm/s</w:t>
      </w:r>
      <w:r>
        <w:rPr>
          <w:rFonts w:hint="eastAsia"/>
          <w:color w:val="000000" w:themeColor="text1"/>
          <w:kern w:val="0"/>
          <w:szCs w:val="20"/>
        </w:rPr>
        <w:t>。对于高风险污染土壤，需经固化稳定化处置，且固化体必须达到一定的抗压强度，一般要求达到</w:t>
      </w:r>
      <w:r>
        <w:rPr>
          <w:rFonts w:hint="eastAsia"/>
          <w:color w:val="000000" w:themeColor="text1"/>
          <w:kern w:val="0"/>
          <w:szCs w:val="20"/>
        </w:rPr>
        <w:t>0.1</w:t>
      </w:r>
      <w:r w:rsidR="00357394">
        <w:rPr>
          <w:rFonts w:hint="eastAsia"/>
          <w:color w:val="000000" w:themeColor="text1"/>
          <w:kern w:val="0"/>
          <w:szCs w:val="20"/>
        </w:rPr>
        <w:t>~</w:t>
      </w:r>
      <w:r>
        <w:rPr>
          <w:rFonts w:hint="eastAsia"/>
          <w:color w:val="000000" w:themeColor="text1"/>
          <w:kern w:val="0"/>
          <w:szCs w:val="20"/>
        </w:rPr>
        <w:t>0.5</w:t>
      </w:r>
      <w:r w:rsidR="00794904">
        <w:rPr>
          <w:color w:val="000000" w:themeColor="text1"/>
          <w:kern w:val="0"/>
          <w:szCs w:val="20"/>
        </w:rPr>
        <w:t xml:space="preserve"> </w:t>
      </w:r>
      <w:r>
        <w:rPr>
          <w:rFonts w:hint="eastAsia"/>
          <w:color w:val="000000" w:themeColor="text1"/>
          <w:kern w:val="0"/>
          <w:szCs w:val="20"/>
        </w:rPr>
        <w:t>MPa</w:t>
      </w:r>
      <w:r>
        <w:rPr>
          <w:rFonts w:hint="eastAsia"/>
          <w:color w:val="000000" w:themeColor="text1"/>
          <w:kern w:val="0"/>
          <w:szCs w:val="20"/>
        </w:rPr>
        <w:t>。高风险污染土壤经固化稳定化处置后浸出浓度要小于相应</w:t>
      </w:r>
      <w:r>
        <w:rPr>
          <w:rFonts w:hint="eastAsia"/>
          <w:color w:val="000000" w:themeColor="text1"/>
          <w:kern w:val="0"/>
          <w:szCs w:val="20"/>
        </w:rPr>
        <w:t>GB</w:t>
      </w:r>
      <w:r w:rsidR="006E15E8">
        <w:rPr>
          <w:color w:val="000000" w:themeColor="text1"/>
          <w:kern w:val="0"/>
          <w:szCs w:val="20"/>
        </w:rPr>
        <w:t xml:space="preserve"> </w:t>
      </w:r>
      <w:r>
        <w:rPr>
          <w:rFonts w:hint="eastAsia"/>
          <w:color w:val="000000" w:themeColor="text1"/>
          <w:kern w:val="0"/>
          <w:szCs w:val="20"/>
        </w:rPr>
        <w:t>5085.3</w:t>
      </w:r>
      <w:r>
        <w:rPr>
          <w:rFonts w:hint="eastAsia"/>
          <w:color w:val="000000" w:themeColor="text1"/>
          <w:kern w:val="0"/>
          <w:szCs w:val="20"/>
        </w:rPr>
        <w:t>中浓度规定限制。土壤含水率</w:t>
      </w:r>
      <w:r w:rsidR="00794904">
        <w:rPr>
          <w:rFonts w:hint="eastAsia"/>
          <w:color w:val="000000" w:themeColor="text1"/>
          <w:kern w:val="0"/>
          <w:szCs w:val="20"/>
        </w:rPr>
        <w:t>应</w:t>
      </w:r>
      <w:r>
        <w:rPr>
          <w:rFonts w:hint="eastAsia"/>
          <w:color w:val="000000" w:themeColor="text1"/>
          <w:kern w:val="0"/>
          <w:szCs w:val="20"/>
        </w:rPr>
        <w:t>低于</w:t>
      </w:r>
      <w:r>
        <w:rPr>
          <w:rFonts w:hint="eastAsia"/>
          <w:color w:val="000000" w:themeColor="text1"/>
          <w:kern w:val="0"/>
          <w:szCs w:val="20"/>
        </w:rPr>
        <w:t>20%</w:t>
      </w:r>
      <w:r>
        <w:rPr>
          <w:rFonts w:hint="eastAsia"/>
          <w:color w:val="000000" w:themeColor="text1"/>
          <w:kern w:val="0"/>
          <w:szCs w:val="20"/>
        </w:rPr>
        <w:t>。</w:t>
      </w:r>
    </w:p>
    <w:p w14:paraId="64EE2213" w14:textId="7BE20C2B" w:rsidR="00BA1C4E" w:rsidRDefault="008E428B">
      <w:pPr>
        <w:adjustRightInd w:val="0"/>
        <w:ind w:firstLineChars="200" w:firstLine="420"/>
        <w:rPr>
          <w:color w:val="000000" w:themeColor="text1"/>
          <w:kern w:val="0"/>
          <w:szCs w:val="20"/>
        </w:rPr>
      </w:pPr>
      <w:r>
        <w:rPr>
          <w:rFonts w:hint="eastAsia"/>
          <w:color w:val="000000" w:themeColor="text1"/>
          <w:kern w:val="0"/>
          <w:szCs w:val="20"/>
        </w:rPr>
        <w:t>c</w:t>
      </w:r>
      <w:r>
        <w:rPr>
          <w:color w:val="000000" w:themeColor="text1"/>
          <w:kern w:val="0"/>
          <w:szCs w:val="20"/>
        </w:rPr>
        <w:t xml:space="preserve">)  </w:t>
      </w:r>
      <w:r>
        <w:rPr>
          <w:rFonts w:hint="eastAsia"/>
          <w:color w:val="000000" w:themeColor="text1"/>
          <w:kern w:val="0"/>
          <w:szCs w:val="20"/>
        </w:rPr>
        <w:t>表层阻隔可以设置厚度为</w:t>
      </w:r>
      <w:r>
        <w:rPr>
          <w:rFonts w:hint="eastAsia"/>
          <w:color w:val="000000" w:themeColor="text1"/>
          <w:kern w:val="0"/>
          <w:szCs w:val="20"/>
        </w:rPr>
        <w:t>0.6</w:t>
      </w:r>
      <w:r w:rsidR="00357394">
        <w:rPr>
          <w:rFonts w:hint="eastAsia"/>
          <w:color w:val="000000" w:themeColor="text1"/>
          <w:kern w:val="0"/>
          <w:szCs w:val="20"/>
        </w:rPr>
        <w:t>~</w:t>
      </w:r>
      <w:r>
        <w:rPr>
          <w:rFonts w:hint="eastAsia"/>
          <w:color w:val="000000" w:themeColor="text1"/>
          <w:kern w:val="0"/>
          <w:szCs w:val="20"/>
        </w:rPr>
        <w:t>0.9 m</w:t>
      </w:r>
      <w:r>
        <w:rPr>
          <w:rFonts w:hint="eastAsia"/>
          <w:color w:val="000000" w:themeColor="text1"/>
          <w:kern w:val="0"/>
          <w:szCs w:val="20"/>
        </w:rPr>
        <w:t>的土层。阻隔材料的关键指标是渗透性，同时考虑吸附性能，常用材料有沥青、混凝土、弹性膜衬层等。运行中定期监测水样，地下水下游至少设置</w:t>
      </w:r>
      <w:r>
        <w:rPr>
          <w:rFonts w:hint="eastAsia"/>
          <w:color w:val="000000" w:themeColor="text1"/>
          <w:kern w:val="0"/>
          <w:szCs w:val="20"/>
        </w:rPr>
        <w:t>3</w:t>
      </w:r>
      <w:r>
        <w:rPr>
          <w:rFonts w:hint="eastAsia"/>
          <w:color w:val="000000" w:themeColor="text1"/>
          <w:kern w:val="0"/>
          <w:szCs w:val="20"/>
        </w:rPr>
        <w:t>口监测井，阻隔系统内外设置水压计。</w:t>
      </w:r>
    </w:p>
    <w:p w14:paraId="1E9E2240" w14:textId="77777777" w:rsidR="00BA1C4E" w:rsidRDefault="008E428B">
      <w:pPr>
        <w:pStyle w:val="a1"/>
        <w:numPr>
          <w:ilvl w:val="0"/>
          <w:numId w:val="0"/>
        </w:numPr>
        <w:spacing w:before="156" w:after="156"/>
        <w:rPr>
          <w:color w:val="000000"/>
        </w:rPr>
      </w:pPr>
      <w:bookmarkStart w:id="200" w:name="_Toc140993880"/>
      <w:r>
        <w:rPr>
          <w:rFonts w:hint="eastAsia"/>
          <w:color w:val="000000"/>
        </w:rPr>
        <w:t>7.1.5  化学还原技术</w:t>
      </w:r>
      <w:bookmarkEnd w:id="200"/>
    </w:p>
    <w:p w14:paraId="3394A194" w14:textId="77777777" w:rsidR="00BA1C4E" w:rsidRDefault="008E428B">
      <w:pPr>
        <w:adjustRightInd w:val="0"/>
        <w:ind w:firstLineChars="200" w:firstLine="420"/>
        <w:rPr>
          <w:color w:val="000000" w:themeColor="text1"/>
          <w:kern w:val="0"/>
          <w:szCs w:val="20"/>
        </w:rPr>
      </w:pPr>
      <w:r>
        <w:rPr>
          <w:rFonts w:hint="eastAsia"/>
          <w:color w:val="000000" w:themeColor="text1"/>
          <w:kern w:val="0"/>
          <w:szCs w:val="20"/>
        </w:rPr>
        <w:t>通过向异位</w:t>
      </w:r>
      <w:r>
        <w:rPr>
          <w:rFonts w:hint="eastAsia"/>
          <w:color w:val="000000" w:themeColor="text1"/>
          <w:kern w:val="0"/>
          <w:szCs w:val="20"/>
        </w:rPr>
        <w:t>/</w:t>
      </w:r>
      <w:r>
        <w:rPr>
          <w:rFonts w:hint="eastAsia"/>
          <w:color w:val="000000" w:themeColor="text1"/>
          <w:kern w:val="0"/>
          <w:szCs w:val="20"/>
        </w:rPr>
        <w:t>原位污染土壤中添加还原剂，通过还原作用，改变土壤重金属的价态及赋存形态，使土壤中的污染物转化为无毒或相对毒性较小的物质，以降低其对生态系统的危害风险。</w:t>
      </w:r>
    </w:p>
    <w:p w14:paraId="68078AAC" w14:textId="77777777" w:rsidR="00BA1C4E" w:rsidRDefault="008E428B" w:rsidP="001007BE">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 xml:space="preserve">7.1.5.1  </w:t>
      </w:r>
      <w:r>
        <w:rPr>
          <w:rFonts w:ascii="黑体" w:eastAsia="黑体"/>
          <w:color w:val="000000"/>
          <w:kern w:val="0"/>
          <w:szCs w:val="21"/>
        </w:rPr>
        <w:t>适用条件及</w:t>
      </w:r>
      <w:r>
        <w:rPr>
          <w:rFonts w:ascii="黑体" w:eastAsia="黑体" w:hint="eastAsia"/>
          <w:color w:val="000000"/>
          <w:kern w:val="0"/>
          <w:szCs w:val="21"/>
        </w:rPr>
        <w:t>特</w:t>
      </w:r>
      <w:r>
        <w:rPr>
          <w:rFonts w:ascii="黑体" w:eastAsia="黑体"/>
          <w:color w:val="000000"/>
          <w:kern w:val="0"/>
          <w:szCs w:val="21"/>
        </w:rPr>
        <w:t>点</w:t>
      </w:r>
    </w:p>
    <w:p w14:paraId="045FD582" w14:textId="6FDAE41F" w:rsidR="00BA1C4E" w:rsidRDefault="008E428B">
      <w:pPr>
        <w:adjustRightInd w:val="0"/>
        <w:ind w:firstLine="435"/>
        <w:rPr>
          <w:color w:val="000000" w:themeColor="text1"/>
          <w:kern w:val="0"/>
          <w:szCs w:val="20"/>
        </w:rPr>
      </w:pPr>
      <w:r>
        <w:rPr>
          <w:rFonts w:hint="eastAsia"/>
          <w:color w:val="000000" w:themeColor="text1"/>
          <w:kern w:val="0"/>
          <w:szCs w:val="20"/>
        </w:rPr>
        <w:t>适用于重度污染土壤中六价铬的还原修复，转化为迁移性弱的三价铬，后进一步处理形成沉淀。处理周期较短。还原剂种类多，处理成本较低，国内处理成本一般为</w:t>
      </w:r>
      <w:r>
        <w:rPr>
          <w:rFonts w:hint="eastAsia"/>
          <w:color w:val="000000" w:themeColor="text1"/>
          <w:kern w:val="0"/>
          <w:szCs w:val="20"/>
        </w:rPr>
        <w:t>500</w:t>
      </w:r>
      <w:r w:rsidR="00BB7125">
        <w:rPr>
          <w:rFonts w:hint="eastAsia"/>
          <w:color w:val="000000" w:themeColor="text1"/>
          <w:kern w:val="0"/>
          <w:szCs w:val="20"/>
        </w:rPr>
        <w:t>~</w:t>
      </w:r>
      <w:r>
        <w:rPr>
          <w:rFonts w:hint="eastAsia"/>
          <w:color w:val="000000" w:themeColor="text1"/>
          <w:kern w:val="0"/>
          <w:szCs w:val="20"/>
        </w:rPr>
        <w:t>1500</w:t>
      </w:r>
      <w:r>
        <w:rPr>
          <w:rFonts w:hint="eastAsia"/>
          <w:color w:val="000000" w:themeColor="text1"/>
          <w:kern w:val="0"/>
          <w:szCs w:val="20"/>
        </w:rPr>
        <w:t>元</w:t>
      </w:r>
      <w:r>
        <w:rPr>
          <w:rFonts w:hint="eastAsia"/>
          <w:color w:val="000000" w:themeColor="text1"/>
          <w:kern w:val="0"/>
          <w:szCs w:val="20"/>
        </w:rPr>
        <w:t>/m</w:t>
      </w:r>
      <w:r>
        <w:rPr>
          <w:rFonts w:hint="eastAsia"/>
          <w:color w:val="000000" w:themeColor="text1"/>
          <w:kern w:val="0"/>
          <w:szCs w:val="20"/>
          <w:vertAlign w:val="superscript"/>
        </w:rPr>
        <w:t>3</w:t>
      </w:r>
      <w:r>
        <w:rPr>
          <w:rFonts w:hint="eastAsia"/>
          <w:color w:val="000000" w:themeColor="text1"/>
          <w:kern w:val="0"/>
          <w:szCs w:val="20"/>
        </w:rPr>
        <w:t>。国内已有工程应</w:t>
      </w:r>
      <w:r>
        <w:rPr>
          <w:rFonts w:hint="eastAsia"/>
          <w:color w:val="000000" w:themeColor="text1"/>
          <w:kern w:val="0"/>
          <w:szCs w:val="20"/>
        </w:rPr>
        <w:lastRenderedPageBreak/>
        <w:t>用，由于还原剂添加到土壤中会对修复后土壤的再利用有很大影响，目前修复后的土壤通常采取阻隔填埋的方式进行最终处置。</w:t>
      </w:r>
    </w:p>
    <w:p w14:paraId="6B8E9AB7" w14:textId="77777777" w:rsidR="00BA1C4E" w:rsidRDefault="008E428B" w:rsidP="001007BE">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7.1.5.2  技术构成和主要设备</w:t>
      </w:r>
    </w:p>
    <w:p w14:paraId="58D24B0D" w14:textId="77777777" w:rsidR="00BA1C4E" w:rsidRDefault="008E428B">
      <w:pPr>
        <w:adjustRightInd w:val="0"/>
        <w:ind w:firstLineChars="200" w:firstLine="420"/>
        <w:rPr>
          <w:color w:val="000000" w:themeColor="text1"/>
          <w:kern w:val="0"/>
          <w:szCs w:val="20"/>
        </w:rPr>
      </w:pPr>
      <w:r>
        <w:rPr>
          <w:rFonts w:hint="eastAsia"/>
          <w:color w:val="000000" w:themeColor="text1"/>
          <w:kern w:val="0"/>
          <w:szCs w:val="20"/>
        </w:rPr>
        <w:t xml:space="preserve">a)  </w:t>
      </w:r>
      <w:r>
        <w:rPr>
          <w:rFonts w:hint="eastAsia"/>
          <w:color w:val="000000" w:themeColor="text1"/>
          <w:kern w:val="0"/>
          <w:szCs w:val="20"/>
        </w:rPr>
        <w:t>化学还原技术体系由土壤预处理系统（异位处理用）、药剂注入系统和土壤药剂混合搅拌系统组成（异位处理用）。</w:t>
      </w:r>
    </w:p>
    <w:p w14:paraId="16961335" w14:textId="33AF0DED" w:rsidR="00BA1C4E" w:rsidRDefault="008E428B">
      <w:pPr>
        <w:adjustRightInd w:val="0"/>
        <w:ind w:firstLineChars="200" w:firstLine="420"/>
        <w:rPr>
          <w:color w:val="000000" w:themeColor="text1"/>
          <w:kern w:val="0"/>
          <w:szCs w:val="20"/>
        </w:rPr>
      </w:pPr>
      <w:r>
        <w:rPr>
          <w:rFonts w:hint="eastAsia"/>
          <w:color w:val="000000" w:themeColor="text1"/>
          <w:kern w:val="0"/>
          <w:szCs w:val="20"/>
        </w:rPr>
        <w:t xml:space="preserve">b)  </w:t>
      </w:r>
      <w:r>
        <w:rPr>
          <w:rFonts w:hint="eastAsia"/>
          <w:color w:val="000000" w:themeColor="text1"/>
          <w:kern w:val="0"/>
          <w:szCs w:val="20"/>
        </w:rPr>
        <w:t>异位化学还原修复设备包括挖掘、预处理、药剂制备和投加装置及搅拌混合设备等。原位化学还原技术以高压旋喷技术具有优势。高压旋喷技术系统组成主要包括：配药站、高压注浆泵、空气压缩机、旋喷钻机、高压喷射钻杆、药剂喷射喷嘴、空气喷射喷嘴等组成的气体（空气）、液（修复药剂）二重管原位注射系统。</w:t>
      </w:r>
    </w:p>
    <w:p w14:paraId="166B97CC" w14:textId="77777777" w:rsidR="00BA1C4E" w:rsidRDefault="008E428B" w:rsidP="001007BE">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7.1.5.3  关键技术参数或指标</w:t>
      </w:r>
    </w:p>
    <w:p w14:paraId="38AB21C9" w14:textId="77777777" w:rsidR="00BA1C4E" w:rsidRDefault="008E428B">
      <w:pPr>
        <w:adjustRightInd w:val="0"/>
        <w:ind w:firstLineChars="200" w:firstLine="420"/>
        <w:rPr>
          <w:color w:val="000000" w:themeColor="text1"/>
          <w:kern w:val="0"/>
          <w:szCs w:val="20"/>
        </w:rPr>
      </w:pPr>
      <w:r>
        <w:rPr>
          <w:rFonts w:hint="eastAsia"/>
          <w:color w:val="000000" w:themeColor="text1"/>
          <w:kern w:val="0"/>
          <w:szCs w:val="20"/>
        </w:rPr>
        <w:t xml:space="preserve">a)  </w:t>
      </w:r>
      <w:r>
        <w:rPr>
          <w:rFonts w:hint="eastAsia"/>
          <w:color w:val="000000" w:themeColor="text1"/>
          <w:kern w:val="0"/>
          <w:szCs w:val="20"/>
        </w:rPr>
        <w:t>原位修复对场地土质要求较多，土质渗透性好的处理效果较好；异位修复对土质要求较小，土壤易搅拌混合均匀时效果最佳。</w:t>
      </w:r>
    </w:p>
    <w:p w14:paraId="183BEA19" w14:textId="77777777" w:rsidR="00BA1C4E" w:rsidRDefault="008E428B">
      <w:pPr>
        <w:adjustRightInd w:val="0"/>
        <w:ind w:firstLineChars="200" w:firstLine="420"/>
        <w:rPr>
          <w:color w:val="000000" w:themeColor="text1"/>
          <w:kern w:val="0"/>
          <w:szCs w:val="20"/>
        </w:rPr>
      </w:pPr>
      <w:r>
        <w:rPr>
          <w:rFonts w:hint="eastAsia"/>
          <w:color w:val="000000" w:themeColor="text1"/>
          <w:kern w:val="0"/>
          <w:szCs w:val="20"/>
        </w:rPr>
        <w:t xml:space="preserve">b)  </w:t>
      </w:r>
      <w:r>
        <w:rPr>
          <w:rFonts w:hint="eastAsia"/>
          <w:color w:val="000000" w:themeColor="text1"/>
          <w:kern w:val="0"/>
          <w:szCs w:val="20"/>
        </w:rPr>
        <w:t>常见的铬还原剂包括二价铁盐、零价铁、多硫化钙、还原糖、硫酸亚铁等。</w:t>
      </w:r>
    </w:p>
    <w:p w14:paraId="4D907EE6" w14:textId="77777777" w:rsidR="00BA1C4E" w:rsidRDefault="008E428B">
      <w:pPr>
        <w:pStyle w:val="a1"/>
        <w:numPr>
          <w:ilvl w:val="0"/>
          <w:numId w:val="0"/>
        </w:numPr>
        <w:spacing w:before="156" w:after="156"/>
        <w:rPr>
          <w:color w:val="000000"/>
        </w:rPr>
      </w:pPr>
      <w:bookmarkStart w:id="201" w:name="_Toc140993881"/>
      <w:r>
        <w:rPr>
          <w:rFonts w:hint="eastAsia"/>
          <w:color w:val="000000"/>
        </w:rPr>
        <w:t>7.1.6  异位土壤洗脱</w:t>
      </w:r>
      <w:r>
        <w:rPr>
          <w:color w:val="000000"/>
        </w:rPr>
        <w:t>技术</w:t>
      </w:r>
      <w:bookmarkEnd w:id="201"/>
    </w:p>
    <w:p w14:paraId="3B6111C6" w14:textId="77777777" w:rsidR="00BA1C4E" w:rsidRDefault="008E428B">
      <w:pPr>
        <w:adjustRightInd w:val="0"/>
        <w:ind w:firstLineChars="200" w:firstLine="420"/>
        <w:rPr>
          <w:color w:val="000000" w:themeColor="text1"/>
          <w:kern w:val="0"/>
          <w:szCs w:val="20"/>
        </w:rPr>
      </w:pPr>
      <w:r>
        <w:rPr>
          <w:rFonts w:hint="eastAsia"/>
          <w:color w:val="000000" w:themeColor="text1"/>
          <w:kern w:val="0"/>
          <w:szCs w:val="20"/>
        </w:rPr>
        <w:t>采用物理分离或增效洗脱等手段，通过添加水或合适的增效剂，使重金属污染物从土壤相转移到液相，并有效地减少污染土壤的处理量，实现减量化。洗脱系统废水应处理去除污染物后回用或达标排放。</w:t>
      </w:r>
    </w:p>
    <w:p w14:paraId="15F3B911" w14:textId="77777777" w:rsidR="00BA1C4E" w:rsidRDefault="008E428B" w:rsidP="001007BE">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w:t>
      </w:r>
      <w:r>
        <w:rPr>
          <w:rFonts w:ascii="黑体" w:eastAsia="黑体"/>
          <w:color w:val="000000"/>
          <w:kern w:val="0"/>
          <w:szCs w:val="21"/>
        </w:rPr>
        <w:t>6</w:t>
      </w:r>
      <w:r>
        <w:rPr>
          <w:rFonts w:ascii="黑体" w:eastAsia="黑体" w:hint="eastAsia"/>
          <w:color w:val="000000"/>
          <w:kern w:val="0"/>
          <w:szCs w:val="21"/>
        </w:rPr>
        <w:t xml:space="preserve">.1  </w:t>
      </w:r>
      <w:r>
        <w:rPr>
          <w:rFonts w:ascii="黑体" w:eastAsia="黑体"/>
          <w:color w:val="000000"/>
          <w:kern w:val="0"/>
          <w:szCs w:val="21"/>
        </w:rPr>
        <w:t>适用条件及</w:t>
      </w:r>
      <w:r>
        <w:rPr>
          <w:rFonts w:ascii="黑体" w:eastAsia="黑体" w:hint="eastAsia"/>
          <w:color w:val="000000"/>
          <w:kern w:val="0"/>
          <w:szCs w:val="21"/>
        </w:rPr>
        <w:t>特</w:t>
      </w:r>
      <w:r>
        <w:rPr>
          <w:rFonts w:ascii="黑体" w:eastAsia="黑体"/>
          <w:color w:val="000000"/>
          <w:kern w:val="0"/>
          <w:szCs w:val="21"/>
        </w:rPr>
        <w:t>点</w:t>
      </w:r>
    </w:p>
    <w:p w14:paraId="420F7660" w14:textId="1844E020" w:rsidR="00BA1C4E" w:rsidRDefault="008E428B">
      <w:pPr>
        <w:adjustRightInd w:val="0"/>
        <w:ind w:firstLineChars="200" w:firstLine="420"/>
        <w:rPr>
          <w:kern w:val="0"/>
          <w:szCs w:val="20"/>
        </w:rPr>
      </w:pPr>
      <w:r>
        <w:rPr>
          <w:kern w:val="0"/>
          <w:szCs w:val="20"/>
        </w:rPr>
        <w:t>适用于重度</w:t>
      </w:r>
      <w:r>
        <w:rPr>
          <w:rFonts w:hint="eastAsia"/>
          <w:kern w:val="0"/>
          <w:szCs w:val="20"/>
        </w:rPr>
        <w:t>重金属</w:t>
      </w:r>
      <w:r>
        <w:rPr>
          <w:kern w:val="0"/>
          <w:szCs w:val="20"/>
        </w:rPr>
        <w:t>污染场地土壤</w:t>
      </w:r>
      <w:r>
        <w:rPr>
          <w:rFonts w:hint="eastAsia"/>
          <w:kern w:val="0"/>
          <w:szCs w:val="20"/>
        </w:rPr>
        <w:t>，但不宜用于土壤细粒（粘</w:t>
      </w:r>
      <w:r>
        <w:rPr>
          <w:rFonts w:hint="eastAsia"/>
          <w:kern w:val="0"/>
          <w:szCs w:val="20"/>
        </w:rPr>
        <w:t>/</w:t>
      </w:r>
      <w:r>
        <w:rPr>
          <w:rFonts w:hint="eastAsia"/>
          <w:kern w:val="0"/>
          <w:szCs w:val="20"/>
        </w:rPr>
        <w:t>粉粒）含量高于</w:t>
      </w:r>
      <w:r>
        <w:rPr>
          <w:rFonts w:hint="eastAsia"/>
          <w:kern w:val="0"/>
          <w:szCs w:val="20"/>
        </w:rPr>
        <w:t xml:space="preserve"> 25%</w:t>
      </w:r>
      <w:r>
        <w:rPr>
          <w:rFonts w:hint="eastAsia"/>
          <w:kern w:val="0"/>
          <w:szCs w:val="20"/>
        </w:rPr>
        <w:t>的土壤。污染物</w:t>
      </w:r>
      <w:r>
        <w:rPr>
          <w:kern w:val="0"/>
          <w:szCs w:val="20"/>
        </w:rPr>
        <w:t>适用范围广，修复周期短，能够高效降低土壤中污染物总量。</w:t>
      </w:r>
      <w:r>
        <w:rPr>
          <w:rFonts w:hint="eastAsia"/>
          <w:kern w:val="0"/>
          <w:szCs w:val="20"/>
        </w:rPr>
        <w:t>淋脱技术对于粒径大、空隙多、渗透系数高的铬污染土壤较为适用。</w:t>
      </w:r>
      <w:r>
        <w:rPr>
          <w:kern w:val="0"/>
          <w:szCs w:val="20"/>
        </w:rPr>
        <w:t>成本</w:t>
      </w:r>
      <w:r>
        <w:rPr>
          <w:rFonts w:hint="eastAsia"/>
          <w:kern w:val="0"/>
          <w:szCs w:val="20"/>
        </w:rPr>
        <w:t>较</w:t>
      </w:r>
      <w:r>
        <w:rPr>
          <w:kern w:val="0"/>
          <w:szCs w:val="20"/>
        </w:rPr>
        <w:t>低</w:t>
      </w:r>
      <w:r>
        <w:rPr>
          <w:rFonts w:hint="eastAsia"/>
          <w:kern w:val="0"/>
          <w:szCs w:val="20"/>
        </w:rPr>
        <w:t>，国内处理成本约为</w:t>
      </w:r>
      <w:r>
        <w:rPr>
          <w:rFonts w:hint="eastAsia"/>
          <w:kern w:val="0"/>
          <w:szCs w:val="20"/>
        </w:rPr>
        <w:t>600</w:t>
      </w:r>
      <w:r w:rsidR="0080020F">
        <w:rPr>
          <w:rFonts w:hint="eastAsia"/>
          <w:kern w:val="0"/>
          <w:szCs w:val="20"/>
        </w:rPr>
        <w:t>~</w:t>
      </w:r>
      <w:r>
        <w:rPr>
          <w:rFonts w:hint="eastAsia"/>
          <w:kern w:val="0"/>
          <w:szCs w:val="20"/>
        </w:rPr>
        <w:t>3000</w:t>
      </w:r>
      <w:r>
        <w:rPr>
          <w:rFonts w:hint="eastAsia"/>
          <w:kern w:val="0"/>
          <w:szCs w:val="20"/>
        </w:rPr>
        <w:t>元</w:t>
      </w:r>
      <w:r>
        <w:rPr>
          <w:rFonts w:hint="eastAsia"/>
          <w:kern w:val="0"/>
          <w:szCs w:val="20"/>
        </w:rPr>
        <w:t>/ m</w:t>
      </w:r>
      <w:r>
        <w:rPr>
          <w:rFonts w:hint="eastAsia"/>
          <w:kern w:val="0"/>
          <w:szCs w:val="20"/>
          <w:vertAlign w:val="superscript"/>
        </w:rPr>
        <w:t>3</w:t>
      </w:r>
      <w:r>
        <w:rPr>
          <w:rFonts w:hint="eastAsia"/>
          <w:kern w:val="0"/>
          <w:szCs w:val="20"/>
        </w:rPr>
        <w:t>。</w:t>
      </w:r>
    </w:p>
    <w:p w14:paraId="663D195D" w14:textId="77777777" w:rsidR="00BA1C4E" w:rsidRDefault="008E428B" w:rsidP="001007BE">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w:t>
      </w:r>
      <w:r>
        <w:rPr>
          <w:rFonts w:ascii="黑体" w:eastAsia="黑体"/>
          <w:color w:val="000000"/>
          <w:kern w:val="0"/>
          <w:szCs w:val="21"/>
        </w:rPr>
        <w:t>6</w:t>
      </w:r>
      <w:r>
        <w:rPr>
          <w:rFonts w:ascii="黑体" w:eastAsia="黑体" w:hint="eastAsia"/>
          <w:color w:val="000000"/>
          <w:kern w:val="0"/>
          <w:szCs w:val="21"/>
        </w:rPr>
        <w:t>.2  技术构成和主要设备</w:t>
      </w:r>
    </w:p>
    <w:p w14:paraId="5102F27B" w14:textId="77777777" w:rsidR="00BA1C4E" w:rsidRDefault="008E428B">
      <w:pPr>
        <w:adjustRightInd w:val="0"/>
        <w:ind w:firstLineChars="200" w:firstLine="420"/>
        <w:rPr>
          <w:kern w:val="0"/>
          <w:szCs w:val="20"/>
        </w:rPr>
      </w:pPr>
      <w:r>
        <w:rPr>
          <w:rFonts w:hint="eastAsia"/>
          <w:color w:val="000000" w:themeColor="text1"/>
          <w:kern w:val="0"/>
          <w:szCs w:val="20"/>
        </w:rPr>
        <w:t xml:space="preserve">a)  </w:t>
      </w:r>
      <w:r>
        <w:rPr>
          <w:rFonts w:hint="eastAsia"/>
          <w:color w:val="000000" w:themeColor="text1"/>
          <w:kern w:val="0"/>
          <w:szCs w:val="20"/>
        </w:rPr>
        <w:t>异位土壤洗脱处理</w:t>
      </w:r>
      <w:r>
        <w:rPr>
          <w:rFonts w:hint="eastAsia"/>
          <w:kern w:val="0"/>
          <w:szCs w:val="20"/>
        </w:rPr>
        <w:t>系统一般包括土壤预处理单元、物理分离单元、洗脱单元、废水处理及回用单元及挥发性气体控制单元等。</w:t>
      </w:r>
    </w:p>
    <w:p w14:paraId="791D2F86" w14:textId="77777777" w:rsidR="00BA1C4E" w:rsidRDefault="008E428B">
      <w:pPr>
        <w:adjustRightInd w:val="0"/>
        <w:ind w:firstLineChars="200" w:firstLine="420"/>
        <w:rPr>
          <w:color w:val="000000" w:themeColor="text1"/>
          <w:kern w:val="0"/>
          <w:szCs w:val="20"/>
        </w:rPr>
      </w:pPr>
      <w:r>
        <w:rPr>
          <w:rFonts w:hint="eastAsia"/>
          <w:kern w:val="0"/>
          <w:szCs w:val="20"/>
        </w:rPr>
        <w:t xml:space="preserve">b)  </w:t>
      </w:r>
      <w:r>
        <w:rPr>
          <w:rFonts w:hint="eastAsia"/>
          <w:kern w:val="0"/>
          <w:szCs w:val="20"/>
        </w:rPr>
        <w:t>主要设备包括土壤预处理设备、输送设备、物理筛分设备、增效洗脱设备、泥水分离及脱水设备、废水处理系统等</w:t>
      </w:r>
      <w:r>
        <w:rPr>
          <w:rFonts w:hint="eastAsia"/>
          <w:color w:val="000000" w:themeColor="text1"/>
          <w:kern w:val="0"/>
          <w:szCs w:val="20"/>
        </w:rPr>
        <w:t>。</w:t>
      </w:r>
    </w:p>
    <w:p w14:paraId="6FB51586" w14:textId="77777777" w:rsidR="00BA1C4E" w:rsidRDefault="008E428B" w:rsidP="001007BE">
      <w:pPr>
        <w:adjustRightInd w:val="0"/>
        <w:spacing w:beforeLines="50" w:before="156" w:afterLines="50" w:after="156"/>
        <w:rPr>
          <w:rFonts w:ascii="黑体" w:eastAsia="黑体"/>
          <w:color w:val="000000"/>
          <w:kern w:val="0"/>
          <w:szCs w:val="21"/>
        </w:rPr>
      </w:pPr>
      <w:r>
        <w:rPr>
          <w:rFonts w:ascii="黑体" w:eastAsia="黑体" w:hint="eastAsia"/>
          <w:color w:val="000000"/>
          <w:kern w:val="0"/>
          <w:szCs w:val="21"/>
        </w:rPr>
        <w:t>7.1.</w:t>
      </w:r>
      <w:r>
        <w:rPr>
          <w:rFonts w:ascii="黑体" w:eastAsia="黑体"/>
          <w:color w:val="000000"/>
          <w:kern w:val="0"/>
          <w:szCs w:val="21"/>
        </w:rPr>
        <w:t>6</w:t>
      </w:r>
      <w:r>
        <w:rPr>
          <w:rFonts w:ascii="黑体" w:eastAsia="黑体" w:hint="eastAsia"/>
          <w:color w:val="000000"/>
          <w:kern w:val="0"/>
          <w:szCs w:val="21"/>
        </w:rPr>
        <w:t>.3  关键技术参数或指标</w:t>
      </w:r>
    </w:p>
    <w:p w14:paraId="11079A9C" w14:textId="77777777" w:rsidR="00BA1C4E" w:rsidRDefault="008E428B">
      <w:pPr>
        <w:adjustRightInd w:val="0"/>
        <w:ind w:firstLineChars="200" w:firstLine="420"/>
        <w:rPr>
          <w:color w:val="000000" w:themeColor="text1"/>
          <w:kern w:val="0"/>
          <w:szCs w:val="20"/>
        </w:rPr>
      </w:pPr>
      <w:r>
        <w:rPr>
          <w:rFonts w:hint="eastAsia"/>
          <w:color w:val="000000" w:themeColor="text1"/>
          <w:kern w:val="0"/>
          <w:szCs w:val="20"/>
        </w:rPr>
        <w:t>影响土壤洗脱效果的关键技术参数包括：土壤细粒含量、污染物的性质和浓度、水土比、淋洗时间、淋洗次数、增效剂的选择、增效淋洗废水的处理及药剂回用等。</w:t>
      </w:r>
    </w:p>
    <w:p w14:paraId="6BC31FEC" w14:textId="77777777" w:rsidR="00BA1C4E" w:rsidRDefault="008E428B">
      <w:pPr>
        <w:adjustRightInd w:val="0"/>
        <w:ind w:firstLineChars="200" w:firstLine="420"/>
        <w:rPr>
          <w:color w:val="000000" w:themeColor="text1"/>
          <w:kern w:val="0"/>
          <w:szCs w:val="20"/>
        </w:rPr>
      </w:pPr>
      <w:r>
        <w:rPr>
          <w:color w:val="000000" w:themeColor="text1"/>
          <w:kern w:val="0"/>
          <w:szCs w:val="20"/>
        </w:rPr>
        <w:t xml:space="preserve">a)  </w:t>
      </w:r>
      <w:r>
        <w:rPr>
          <w:rFonts w:hint="eastAsia"/>
          <w:color w:val="000000" w:themeColor="text1"/>
          <w:kern w:val="0"/>
          <w:szCs w:val="20"/>
        </w:rPr>
        <w:t>对于土壤细粒含量高于</w:t>
      </w:r>
      <w:r>
        <w:rPr>
          <w:rFonts w:hint="eastAsia"/>
          <w:color w:val="000000" w:themeColor="text1"/>
          <w:kern w:val="0"/>
          <w:szCs w:val="20"/>
        </w:rPr>
        <w:t>25%</w:t>
      </w:r>
      <w:r>
        <w:rPr>
          <w:rFonts w:hint="eastAsia"/>
          <w:color w:val="000000" w:themeColor="text1"/>
          <w:kern w:val="0"/>
          <w:szCs w:val="20"/>
        </w:rPr>
        <w:t>的土壤本技术不具有成本优势。</w:t>
      </w:r>
    </w:p>
    <w:p w14:paraId="37AC84FD" w14:textId="77777777" w:rsidR="00BA1C4E" w:rsidRDefault="008E428B">
      <w:pPr>
        <w:adjustRightInd w:val="0"/>
        <w:ind w:firstLineChars="200" w:firstLine="420"/>
        <w:rPr>
          <w:color w:val="000000" w:themeColor="text1"/>
          <w:kern w:val="0"/>
          <w:szCs w:val="20"/>
        </w:rPr>
      </w:pPr>
      <w:r>
        <w:rPr>
          <w:rFonts w:hint="eastAsia"/>
          <w:color w:val="000000" w:themeColor="text1"/>
          <w:kern w:val="0"/>
          <w:szCs w:val="20"/>
        </w:rPr>
        <w:t xml:space="preserve">b)  </w:t>
      </w:r>
      <w:r>
        <w:rPr>
          <w:rFonts w:hint="eastAsia"/>
          <w:color w:val="000000" w:themeColor="text1"/>
          <w:kern w:val="0"/>
          <w:szCs w:val="20"/>
        </w:rPr>
        <w:t>增效洗脱单元的水土比一般为</w:t>
      </w:r>
      <w:r>
        <w:rPr>
          <w:rFonts w:hint="eastAsia"/>
          <w:color w:val="000000" w:themeColor="text1"/>
          <w:kern w:val="0"/>
          <w:szCs w:val="20"/>
        </w:rPr>
        <w:t>3:1</w:t>
      </w:r>
      <w:r>
        <w:rPr>
          <w:rFonts w:hint="eastAsia"/>
          <w:color w:val="000000" w:themeColor="text1"/>
          <w:kern w:val="0"/>
          <w:szCs w:val="20"/>
        </w:rPr>
        <w:t>至</w:t>
      </w:r>
      <w:r>
        <w:rPr>
          <w:rFonts w:hint="eastAsia"/>
          <w:color w:val="000000" w:themeColor="text1"/>
          <w:kern w:val="0"/>
          <w:szCs w:val="20"/>
        </w:rPr>
        <w:t>2</w:t>
      </w:r>
      <w:r>
        <w:rPr>
          <w:color w:val="000000" w:themeColor="text1"/>
          <w:kern w:val="0"/>
          <w:szCs w:val="20"/>
        </w:rPr>
        <w:t>0</w:t>
      </w:r>
      <w:r>
        <w:rPr>
          <w:rFonts w:hint="eastAsia"/>
          <w:color w:val="000000" w:themeColor="text1"/>
          <w:kern w:val="0"/>
          <w:szCs w:val="20"/>
        </w:rPr>
        <w:t>:1</w:t>
      </w:r>
      <w:r>
        <w:rPr>
          <w:rFonts w:hint="eastAsia"/>
          <w:color w:val="000000" w:themeColor="text1"/>
          <w:kern w:val="0"/>
          <w:szCs w:val="20"/>
        </w:rPr>
        <w:t>之间。</w:t>
      </w:r>
    </w:p>
    <w:p w14:paraId="7076B93F" w14:textId="77777777" w:rsidR="00BA1C4E" w:rsidRDefault="008E428B">
      <w:pPr>
        <w:adjustRightInd w:val="0"/>
        <w:ind w:firstLineChars="200" w:firstLine="420"/>
        <w:rPr>
          <w:color w:val="000000" w:themeColor="text1"/>
          <w:kern w:val="0"/>
          <w:szCs w:val="20"/>
        </w:rPr>
      </w:pPr>
      <w:r>
        <w:rPr>
          <w:color w:val="000000" w:themeColor="text1"/>
          <w:kern w:val="0"/>
          <w:szCs w:val="20"/>
        </w:rPr>
        <w:t xml:space="preserve">b)  </w:t>
      </w:r>
      <w:r>
        <w:rPr>
          <w:rFonts w:hint="eastAsia"/>
          <w:color w:val="000000" w:themeColor="text1"/>
          <w:kern w:val="0"/>
          <w:szCs w:val="20"/>
        </w:rPr>
        <w:t>当一次分级或增效洗脱不能达标时，可采用多级连续洗脱或循环洗脱。</w:t>
      </w:r>
    </w:p>
    <w:p w14:paraId="15AD8FD7" w14:textId="77777777" w:rsidR="00BA1C4E" w:rsidRDefault="008E428B">
      <w:pPr>
        <w:adjustRightInd w:val="0"/>
        <w:ind w:firstLineChars="200" w:firstLine="420"/>
        <w:rPr>
          <w:color w:val="000000" w:themeColor="text1"/>
          <w:kern w:val="0"/>
          <w:szCs w:val="20"/>
        </w:rPr>
      </w:pPr>
      <w:r>
        <w:rPr>
          <w:color w:val="000000" w:themeColor="text1"/>
          <w:kern w:val="0"/>
          <w:szCs w:val="20"/>
        </w:rPr>
        <w:t xml:space="preserve">b)  </w:t>
      </w:r>
      <w:r>
        <w:rPr>
          <w:rFonts w:hint="eastAsia"/>
          <w:color w:val="000000" w:themeColor="text1"/>
          <w:kern w:val="0"/>
          <w:szCs w:val="20"/>
        </w:rPr>
        <w:t>重金属的增效剂为无机酸、有机酸、络合剂等。具体种类和剂量根据中试结果确定。对于含有铬渣的渣土混合物，其酸溶态铬很稳定，不适合采用洗脱技术。</w:t>
      </w:r>
    </w:p>
    <w:p w14:paraId="3E73D896" w14:textId="77777777" w:rsidR="00BA1C4E" w:rsidRDefault="008E428B">
      <w:pPr>
        <w:adjustRightInd w:val="0"/>
        <w:ind w:firstLineChars="200" w:firstLine="420"/>
        <w:rPr>
          <w:color w:val="000000" w:themeColor="text1"/>
          <w:kern w:val="0"/>
          <w:szCs w:val="20"/>
        </w:rPr>
      </w:pPr>
      <w:r>
        <w:rPr>
          <w:color w:val="000000" w:themeColor="text1"/>
          <w:kern w:val="0"/>
          <w:szCs w:val="20"/>
        </w:rPr>
        <w:t xml:space="preserve">b)  </w:t>
      </w:r>
      <w:r>
        <w:rPr>
          <w:rFonts w:hint="eastAsia"/>
          <w:color w:val="000000" w:themeColor="text1"/>
          <w:kern w:val="0"/>
          <w:szCs w:val="20"/>
        </w:rPr>
        <w:t>对于重金属洗脱废水，一般采用铁盐</w:t>
      </w:r>
      <w:r>
        <w:rPr>
          <w:rFonts w:hint="eastAsia"/>
          <w:color w:val="000000" w:themeColor="text1"/>
          <w:kern w:val="0"/>
          <w:szCs w:val="20"/>
        </w:rPr>
        <w:t>+</w:t>
      </w:r>
      <w:r>
        <w:rPr>
          <w:rFonts w:hint="eastAsia"/>
          <w:color w:val="000000" w:themeColor="text1"/>
          <w:kern w:val="0"/>
          <w:szCs w:val="20"/>
        </w:rPr>
        <w:t>碱沉淀的方法去除水中重金属，加酸回调后可回用增效剂。</w:t>
      </w:r>
    </w:p>
    <w:p w14:paraId="7D48D625" w14:textId="77777777" w:rsidR="00BA1C4E" w:rsidRDefault="008E428B">
      <w:pPr>
        <w:pStyle w:val="a1"/>
        <w:spacing w:before="156" w:after="156"/>
        <w:ind w:left="0"/>
        <w:rPr>
          <w:color w:val="000000"/>
        </w:rPr>
      </w:pPr>
      <w:bookmarkStart w:id="202" w:name="_Toc140993882"/>
      <w:r>
        <w:rPr>
          <w:rFonts w:hint="eastAsia"/>
          <w:color w:val="000000"/>
        </w:rPr>
        <w:t>分级治理技术推荐</w:t>
      </w:r>
      <w:bookmarkEnd w:id="202"/>
    </w:p>
    <w:p w14:paraId="6E4C399B" w14:textId="3F1CFBE8" w:rsidR="00BA1C4E" w:rsidRDefault="008E428B">
      <w:pPr>
        <w:pStyle w:val="aff4"/>
      </w:pPr>
      <w:r>
        <w:rPr>
          <w:rFonts w:hint="eastAsia"/>
        </w:rPr>
        <w:lastRenderedPageBreak/>
        <w:t>将</w:t>
      </w:r>
      <w:r w:rsidR="008D165C">
        <w:rPr>
          <w:rFonts w:hint="eastAsia"/>
        </w:rPr>
        <w:t>文件</w:t>
      </w:r>
      <w:r>
        <w:rPr>
          <w:rFonts w:hint="eastAsia"/>
        </w:rPr>
        <w:t>中涉及的治理技术结合技术的特点，依据污染程度评级以及重金属污染物类型及土壤特殊要求给出分级治理技术推荐，汇总于表2，制定具体的治理方案时根据场地实际情况、治理目标等选用单一技术或各技术的组合。</w:t>
      </w:r>
    </w:p>
    <w:p w14:paraId="7D4AEC5C" w14:textId="77777777" w:rsidR="00BA1C4E" w:rsidRDefault="008E428B">
      <w:pPr>
        <w:pStyle w:val="af"/>
        <w:spacing w:before="156" w:after="156"/>
        <w:rPr>
          <w:color w:val="000000"/>
        </w:rPr>
      </w:pPr>
      <w:r>
        <w:rPr>
          <w:rFonts w:hint="eastAsia"/>
          <w:color w:val="000000"/>
        </w:rPr>
        <w:t>有色金属冶炼地块重金属污染土壤分级治理技术推荐</w:t>
      </w:r>
    </w:p>
    <w:tbl>
      <w:tblPr>
        <w:tblStyle w:val="15"/>
        <w:tblW w:w="9571" w:type="dxa"/>
        <w:jc w:val="center"/>
        <w:tblLook w:val="04A0" w:firstRow="1" w:lastRow="0" w:firstColumn="1" w:lastColumn="0" w:noHBand="0" w:noVBand="1"/>
      </w:tblPr>
      <w:tblGrid>
        <w:gridCol w:w="1007"/>
        <w:gridCol w:w="661"/>
        <w:gridCol w:w="1417"/>
        <w:gridCol w:w="2160"/>
        <w:gridCol w:w="1081"/>
        <w:gridCol w:w="1082"/>
        <w:gridCol w:w="1081"/>
        <w:gridCol w:w="1082"/>
      </w:tblGrid>
      <w:tr w:rsidR="00BA1C4E" w14:paraId="3B6D6FD4" w14:textId="77777777" w:rsidTr="00D47D01">
        <w:trPr>
          <w:trHeight w:val="625"/>
          <w:jc w:val="center"/>
        </w:trPr>
        <w:tc>
          <w:tcPr>
            <w:tcW w:w="1007" w:type="dxa"/>
            <w:vMerge w:val="restart"/>
            <w:vAlign w:val="center"/>
          </w:tcPr>
          <w:p w14:paraId="3E5A8BC5" w14:textId="78812AEA"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土壤</w:t>
            </w:r>
          </w:p>
        </w:tc>
        <w:tc>
          <w:tcPr>
            <w:tcW w:w="661" w:type="dxa"/>
            <w:vMerge w:val="restart"/>
            <w:vAlign w:val="center"/>
          </w:tcPr>
          <w:p w14:paraId="32B0D245"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污染程度评级</w:t>
            </w:r>
          </w:p>
        </w:tc>
        <w:tc>
          <w:tcPr>
            <w:tcW w:w="1417" w:type="dxa"/>
            <w:vMerge w:val="restart"/>
            <w:vAlign w:val="center"/>
          </w:tcPr>
          <w:p w14:paraId="447F6267"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技术推荐</w:t>
            </w:r>
          </w:p>
        </w:tc>
        <w:tc>
          <w:tcPr>
            <w:tcW w:w="2160" w:type="dxa"/>
            <w:vMerge w:val="restart"/>
            <w:vAlign w:val="center"/>
          </w:tcPr>
          <w:p w14:paraId="65EEF23E"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重金属污染物类型及土壤特殊要求</w:t>
            </w:r>
          </w:p>
        </w:tc>
        <w:tc>
          <w:tcPr>
            <w:tcW w:w="4326" w:type="dxa"/>
            <w:gridSpan w:val="4"/>
            <w:vAlign w:val="center"/>
          </w:tcPr>
          <w:p w14:paraId="1AD012C9"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治理技术特点</w:t>
            </w:r>
          </w:p>
        </w:tc>
      </w:tr>
      <w:tr w:rsidR="00BA1C4E" w14:paraId="1D4EAE53" w14:textId="77777777" w:rsidTr="00D47D01">
        <w:trPr>
          <w:trHeight w:val="563"/>
          <w:jc w:val="center"/>
        </w:trPr>
        <w:tc>
          <w:tcPr>
            <w:tcW w:w="1007" w:type="dxa"/>
            <w:vMerge/>
            <w:vAlign w:val="center"/>
          </w:tcPr>
          <w:p w14:paraId="7067E471" w14:textId="77777777" w:rsidR="00BA1C4E" w:rsidRPr="006D372F" w:rsidRDefault="00BA1C4E">
            <w:pPr>
              <w:jc w:val="center"/>
              <w:rPr>
                <w:rFonts w:ascii="Times New Roman" w:eastAsia="宋体" w:hAnsi="Times New Roman"/>
                <w:sz w:val="18"/>
                <w:szCs w:val="18"/>
              </w:rPr>
            </w:pPr>
          </w:p>
        </w:tc>
        <w:tc>
          <w:tcPr>
            <w:tcW w:w="661" w:type="dxa"/>
            <w:vMerge/>
            <w:vAlign w:val="center"/>
          </w:tcPr>
          <w:p w14:paraId="5CB3A761" w14:textId="77777777" w:rsidR="00BA1C4E" w:rsidRPr="006D372F" w:rsidRDefault="00BA1C4E">
            <w:pPr>
              <w:jc w:val="center"/>
              <w:rPr>
                <w:rFonts w:ascii="Times New Roman" w:eastAsia="宋体" w:hAnsi="Times New Roman"/>
                <w:sz w:val="18"/>
                <w:szCs w:val="18"/>
              </w:rPr>
            </w:pPr>
          </w:p>
        </w:tc>
        <w:tc>
          <w:tcPr>
            <w:tcW w:w="1417" w:type="dxa"/>
            <w:vMerge/>
            <w:vAlign w:val="center"/>
          </w:tcPr>
          <w:p w14:paraId="73291677" w14:textId="77777777" w:rsidR="00BA1C4E" w:rsidRPr="006D372F" w:rsidRDefault="00BA1C4E">
            <w:pPr>
              <w:jc w:val="center"/>
              <w:rPr>
                <w:rFonts w:ascii="Times New Roman" w:eastAsia="宋体" w:hAnsi="Times New Roman"/>
                <w:sz w:val="18"/>
                <w:szCs w:val="18"/>
              </w:rPr>
            </w:pPr>
          </w:p>
        </w:tc>
        <w:tc>
          <w:tcPr>
            <w:tcW w:w="2160" w:type="dxa"/>
            <w:vMerge/>
          </w:tcPr>
          <w:p w14:paraId="0A4FD875" w14:textId="77777777" w:rsidR="00BA1C4E" w:rsidRPr="006D372F" w:rsidRDefault="00BA1C4E">
            <w:pPr>
              <w:jc w:val="center"/>
              <w:rPr>
                <w:rFonts w:ascii="Times New Roman" w:eastAsia="宋体" w:hAnsi="Times New Roman"/>
                <w:sz w:val="18"/>
                <w:szCs w:val="18"/>
              </w:rPr>
            </w:pPr>
          </w:p>
        </w:tc>
        <w:tc>
          <w:tcPr>
            <w:tcW w:w="1081" w:type="dxa"/>
            <w:vAlign w:val="center"/>
          </w:tcPr>
          <w:p w14:paraId="342FB27B"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治理所需时间</w:t>
            </w:r>
          </w:p>
        </w:tc>
        <w:tc>
          <w:tcPr>
            <w:tcW w:w="1082" w:type="dxa"/>
            <w:vAlign w:val="center"/>
          </w:tcPr>
          <w:p w14:paraId="24DEF872"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经济成本</w:t>
            </w:r>
          </w:p>
        </w:tc>
        <w:tc>
          <w:tcPr>
            <w:tcW w:w="1081" w:type="dxa"/>
            <w:vAlign w:val="center"/>
          </w:tcPr>
          <w:p w14:paraId="18EDE623"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市场接</w:t>
            </w:r>
          </w:p>
          <w:p w14:paraId="79A29372"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受度</w:t>
            </w:r>
          </w:p>
        </w:tc>
        <w:tc>
          <w:tcPr>
            <w:tcW w:w="1082" w:type="dxa"/>
            <w:vAlign w:val="center"/>
          </w:tcPr>
          <w:p w14:paraId="6CFF683C"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治理效果</w:t>
            </w:r>
          </w:p>
        </w:tc>
      </w:tr>
      <w:tr w:rsidR="00BA1C4E" w14:paraId="07EAD0E1" w14:textId="77777777" w:rsidTr="00D47D01">
        <w:trPr>
          <w:trHeight w:val="573"/>
          <w:jc w:val="center"/>
        </w:trPr>
        <w:tc>
          <w:tcPr>
            <w:tcW w:w="1007" w:type="dxa"/>
            <w:vMerge w:val="restart"/>
            <w:vAlign w:val="center"/>
          </w:tcPr>
          <w:p w14:paraId="6E82689C"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重金属污染场地土壤</w:t>
            </w:r>
          </w:p>
          <w:p w14:paraId="1BF42D4C"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（单一或复合污染）</w:t>
            </w:r>
          </w:p>
        </w:tc>
        <w:tc>
          <w:tcPr>
            <w:tcW w:w="661" w:type="dxa"/>
            <w:vAlign w:val="center"/>
          </w:tcPr>
          <w:p w14:paraId="017A8392"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轻度</w:t>
            </w:r>
          </w:p>
        </w:tc>
        <w:tc>
          <w:tcPr>
            <w:tcW w:w="1417" w:type="dxa"/>
            <w:vAlign w:val="center"/>
          </w:tcPr>
          <w:p w14:paraId="54162C0A"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植被生态恢复技术</w:t>
            </w:r>
          </w:p>
        </w:tc>
        <w:tc>
          <w:tcPr>
            <w:tcW w:w="2160" w:type="dxa"/>
            <w:vAlign w:val="center"/>
          </w:tcPr>
          <w:p w14:paraId="71A457B8"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均可</w:t>
            </w:r>
          </w:p>
        </w:tc>
        <w:tc>
          <w:tcPr>
            <w:tcW w:w="1081" w:type="dxa"/>
            <w:vAlign w:val="center"/>
          </w:tcPr>
          <w:p w14:paraId="48C61C37"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数周</w:t>
            </w:r>
            <w:r w:rsidRPr="006D372F">
              <w:rPr>
                <w:rFonts w:ascii="Times New Roman" w:eastAsia="宋体" w:hAnsi="Times New Roman"/>
                <w:sz w:val="18"/>
                <w:szCs w:val="18"/>
              </w:rPr>
              <w:t>-</w:t>
            </w:r>
            <w:r w:rsidRPr="006D372F">
              <w:rPr>
                <w:rFonts w:ascii="Times New Roman" w:eastAsia="宋体" w:hAnsi="Times New Roman"/>
                <w:sz w:val="18"/>
                <w:szCs w:val="18"/>
              </w:rPr>
              <w:t>数月</w:t>
            </w:r>
          </w:p>
        </w:tc>
        <w:tc>
          <w:tcPr>
            <w:tcW w:w="1082" w:type="dxa"/>
            <w:vAlign w:val="center"/>
          </w:tcPr>
          <w:p w14:paraId="733532E2"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低</w:t>
            </w:r>
          </w:p>
        </w:tc>
        <w:tc>
          <w:tcPr>
            <w:tcW w:w="1081" w:type="dxa"/>
            <w:vAlign w:val="center"/>
          </w:tcPr>
          <w:p w14:paraId="5AEDFE30"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高</w:t>
            </w:r>
          </w:p>
        </w:tc>
        <w:tc>
          <w:tcPr>
            <w:tcW w:w="1082" w:type="dxa"/>
            <w:vAlign w:val="center"/>
          </w:tcPr>
          <w:p w14:paraId="773D5B77"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长期</w:t>
            </w:r>
          </w:p>
        </w:tc>
      </w:tr>
      <w:tr w:rsidR="00BA1C4E" w14:paraId="00193165" w14:textId="77777777" w:rsidTr="00D47D01">
        <w:trPr>
          <w:trHeight w:val="430"/>
          <w:jc w:val="center"/>
        </w:trPr>
        <w:tc>
          <w:tcPr>
            <w:tcW w:w="1007" w:type="dxa"/>
            <w:vMerge/>
            <w:vAlign w:val="center"/>
          </w:tcPr>
          <w:p w14:paraId="565C09E6" w14:textId="77777777" w:rsidR="00BA1C4E" w:rsidRPr="006D372F" w:rsidRDefault="00BA1C4E">
            <w:pPr>
              <w:jc w:val="center"/>
              <w:rPr>
                <w:rFonts w:ascii="Times New Roman" w:eastAsia="宋体" w:hAnsi="Times New Roman"/>
                <w:sz w:val="18"/>
                <w:szCs w:val="18"/>
              </w:rPr>
            </w:pPr>
          </w:p>
        </w:tc>
        <w:tc>
          <w:tcPr>
            <w:tcW w:w="661" w:type="dxa"/>
            <w:vMerge w:val="restart"/>
            <w:vAlign w:val="center"/>
          </w:tcPr>
          <w:p w14:paraId="23F4A54E"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中度</w:t>
            </w:r>
          </w:p>
        </w:tc>
        <w:tc>
          <w:tcPr>
            <w:tcW w:w="1417" w:type="dxa"/>
            <w:vAlign w:val="center"/>
          </w:tcPr>
          <w:p w14:paraId="7B7678A0"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辅以植被生态恢复技术</w:t>
            </w:r>
          </w:p>
        </w:tc>
        <w:tc>
          <w:tcPr>
            <w:tcW w:w="2160" w:type="dxa"/>
            <w:vAlign w:val="center"/>
          </w:tcPr>
          <w:p w14:paraId="0AFE836C"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均可</w:t>
            </w:r>
          </w:p>
        </w:tc>
        <w:tc>
          <w:tcPr>
            <w:tcW w:w="1081" w:type="dxa"/>
            <w:vAlign w:val="center"/>
          </w:tcPr>
          <w:p w14:paraId="61046BEC"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数周</w:t>
            </w:r>
            <w:r w:rsidRPr="006D372F">
              <w:rPr>
                <w:rFonts w:ascii="Times New Roman" w:eastAsia="宋体" w:hAnsi="Times New Roman"/>
                <w:sz w:val="18"/>
                <w:szCs w:val="18"/>
              </w:rPr>
              <w:t>-</w:t>
            </w:r>
            <w:r w:rsidRPr="006D372F">
              <w:rPr>
                <w:rFonts w:ascii="Times New Roman" w:eastAsia="宋体" w:hAnsi="Times New Roman"/>
                <w:sz w:val="18"/>
                <w:szCs w:val="18"/>
              </w:rPr>
              <w:t>数月</w:t>
            </w:r>
          </w:p>
        </w:tc>
        <w:tc>
          <w:tcPr>
            <w:tcW w:w="1082" w:type="dxa"/>
            <w:vAlign w:val="center"/>
          </w:tcPr>
          <w:p w14:paraId="01AD2497"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低</w:t>
            </w:r>
          </w:p>
        </w:tc>
        <w:tc>
          <w:tcPr>
            <w:tcW w:w="1081" w:type="dxa"/>
            <w:vAlign w:val="center"/>
          </w:tcPr>
          <w:p w14:paraId="6A615EE3"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高</w:t>
            </w:r>
          </w:p>
        </w:tc>
        <w:tc>
          <w:tcPr>
            <w:tcW w:w="1082" w:type="dxa"/>
            <w:vAlign w:val="center"/>
          </w:tcPr>
          <w:p w14:paraId="348226D9"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长期</w:t>
            </w:r>
          </w:p>
        </w:tc>
      </w:tr>
      <w:tr w:rsidR="00BA1C4E" w14:paraId="392B32B9" w14:textId="77777777" w:rsidTr="00D47D01">
        <w:trPr>
          <w:trHeight w:val="430"/>
          <w:jc w:val="center"/>
        </w:trPr>
        <w:tc>
          <w:tcPr>
            <w:tcW w:w="1007" w:type="dxa"/>
            <w:vMerge/>
            <w:vAlign w:val="center"/>
          </w:tcPr>
          <w:p w14:paraId="6188AC02" w14:textId="77777777" w:rsidR="00BA1C4E" w:rsidRPr="006D372F" w:rsidRDefault="00BA1C4E">
            <w:pPr>
              <w:jc w:val="center"/>
              <w:rPr>
                <w:rFonts w:ascii="Times New Roman" w:eastAsia="宋体" w:hAnsi="Times New Roman"/>
                <w:sz w:val="18"/>
                <w:szCs w:val="18"/>
              </w:rPr>
            </w:pPr>
          </w:p>
        </w:tc>
        <w:tc>
          <w:tcPr>
            <w:tcW w:w="661" w:type="dxa"/>
            <w:vMerge/>
            <w:vAlign w:val="center"/>
          </w:tcPr>
          <w:p w14:paraId="533BAB08" w14:textId="77777777" w:rsidR="00BA1C4E" w:rsidRPr="006D372F" w:rsidRDefault="00BA1C4E">
            <w:pPr>
              <w:jc w:val="center"/>
              <w:rPr>
                <w:rFonts w:ascii="Times New Roman" w:eastAsia="宋体" w:hAnsi="Times New Roman"/>
                <w:sz w:val="18"/>
                <w:szCs w:val="18"/>
              </w:rPr>
            </w:pPr>
          </w:p>
        </w:tc>
        <w:tc>
          <w:tcPr>
            <w:tcW w:w="1417" w:type="dxa"/>
            <w:vAlign w:val="center"/>
          </w:tcPr>
          <w:p w14:paraId="331D455F"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土壤稳定化技术为主</w:t>
            </w:r>
          </w:p>
        </w:tc>
        <w:tc>
          <w:tcPr>
            <w:tcW w:w="2160" w:type="dxa"/>
            <w:vAlign w:val="center"/>
          </w:tcPr>
          <w:p w14:paraId="04FB23D5"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均可</w:t>
            </w:r>
          </w:p>
        </w:tc>
        <w:tc>
          <w:tcPr>
            <w:tcW w:w="1081" w:type="dxa"/>
            <w:vAlign w:val="center"/>
          </w:tcPr>
          <w:p w14:paraId="319A5F72"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7</w:t>
            </w:r>
            <w:r w:rsidRPr="006D372F">
              <w:rPr>
                <w:rFonts w:ascii="Times New Roman" w:eastAsia="宋体" w:hAnsi="Times New Roman"/>
                <w:sz w:val="18"/>
                <w:szCs w:val="18"/>
              </w:rPr>
              <w:t>天</w:t>
            </w:r>
          </w:p>
        </w:tc>
        <w:tc>
          <w:tcPr>
            <w:tcW w:w="1082" w:type="dxa"/>
            <w:vAlign w:val="center"/>
          </w:tcPr>
          <w:p w14:paraId="0A4C73AE"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低或中</w:t>
            </w:r>
          </w:p>
        </w:tc>
        <w:tc>
          <w:tcPr>
            <w:tcW w:w="1081" w:type="dxa"/>
            <w:vAlign w:val="center"/>
          </w:tcPr>
          <w:p w14:paraId="31FE96D4"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高</w:t>
            </w:r>
          </w:p>
        </w:tc>
        <w:tc>
          <w:tcPr>
            <w:tcW w:w="1082" w:type="dxa"/>
            <w:vAlign w:val="center"/>
          </w:tcPr>
          <w:p w14:paraId="0EED1AD6" w14:textId="5D42DBE9"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数月</w:t>
            </w:r>
            <w:r w:rsidR="00CB0879">
              <w:rPr>
                <w:rFonts w:ascii="Times New Roman" w:eastAsia="宋体" w:hAnsi="Times New Roman" w:hint="eastAsia"/>
                <w:sz w:val="18"/>
                <w:szCs w:val="18"/>
              </w:rPr>
              <w:t>~</w:t>
            </w:r>
            <w:r w:rsidRPr="006D372F">
              <w:rPr>
                <w:rFonts w:ascii="Times New Roman" w:eastAsia="宋体" w:hAnsi="Times New Roman"/>
                <w:sz w:val="18"/>
                <w:szCs w:val="18"/>
              </w:rPr>
              <w:t>数年</w:t>
            </w:r>
          </w:p>
        </w:tc>
      </w:tr>
      <w:tr w:rsidR="00BA1C4E" w14:paraId="1AE59E7F" w14:textId="77777777" w:rsidTr="00D47D01">
        <w:trPr>
          <w:trHeight w:val="394"/>
          <w:jc w:val="center"/>
        </w:trPr>
        <w:tc>
          <w:tcPr>
            <w:tcW w:w="1007" w:type="dxa"/>
            <w:vMerge/>
            <w:vAlign w:val="center"/>
          </w:tcPr>
          <w:p w14:paraId="4945B8C6" w14:textId="77777777" w:rsidR="00BA1C4E" w:rsidRPr="006D372F" w:rsidRDefault="00BA1C4E">
            <w:pPr>
              <w:jc w:val="center"/>
              <w:rPr>
                <w:rFonts w:ascii="Times New Roman" w:eastAsia="宋体" w:hAnsi="Times New Roman"/>
                <w:sz w:val="18"/>
                <w:szCs w:val="18"/>
              </w:rPr>
            </w:pPr>
          </w:p>
        </w:tc>
        <w:tc>
          <w:tcPr>
            <w:tcW w:w="661" w:type="dxa"/>
            <w:vMerge w:val="restart"/>
            <w:vAlign w:val="center"/>
          </w:tcPr>
          <w:p w14:paraId="12CE6E68"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重度</w:t>
            </w:r>
          </w:p>
        </w:tc>
        <w:tc>
          <w:tcPr>
            <w:tcW w:w="1417" w:type="dxa"/>
            <w:vAlign w:val="center"/>
          </w:tcPr>
          <w:p w14:paraId="146E4388"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土壤固化技术</w:t>
            </w:r>
          </w:p>
        </w:tc>
        <w:tc>
          <w:tcPr>
            <w:tcW w:w="2160" w:type="dxa"/>
            <w:vAlign w:val="center"/>
          </w:tcPr>
          <w:p w14:paraId="65217146"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均可</w:t>
            </w:r>
          </w:p>
        </w:tc>
        <w:tc>
          <w:tcPr>
            <w:tcW w:w="1081" w:type="dxa"/>
            <w:vAlign w:val="center"/>
          </w:tcPr>
          <w:p w14:paraId="4F038576"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14</w:t>
            </w:r>
            <w:r w:rsidRPr="006D372F">
              <w:rPr>
                <w:rFonts w:ascii="Times New Roman" w:eastAsia="宋体" w:hAnsi="Times New Roman"/>
                <w:sz w:val="18"/>
                <w:szCs w:val="18"/>
              </w:rPr>
              <w:t>天</w:t>
            </w:r>
          </w:p>
        </w:tc>
        <w:tc>
          <w:tcPr>
            <w:tcW w:w="1082" w:type="dxa"/>
            <w:vAlign w:val="center"/>
          </w:tcPr>
          <w:p w14:paraId="5523E372"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低</w:t>
            </w:r>
          </w:p>
        </w:tc>
        <w:tc>
          <w:tcPr>
            <w:tcW w:w="1081" w:type="dxa"/>
            <w:vAlign w:val="center"/>
          </w:tcPr>
          <w:p w14:paraId="5CD9759D"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高</w:t>
            </w:r>
          </w:p>
        </w:tc>
        <w:tc>
          <w:tcPr>
            <w:tcW w:w="1082" w:type="dxa"/>
            <w:vAlign w:val="center"/>
          </w:tcPr>
          <w:p w14:paraId="1D81E2C7"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数年</w:t>
            </w:r>
          </w:p>
        </w:tc>
      </w:tr>
      <w:tr w:rsidR="00BA1C4E" w14:paraId="60FA6A86" w14:textId="77777777" w:rsidTr="00D47D01">
        <w:trPr>
          <w:trHeight w:val="394"/>
          <w:jc w:val="center"/>
        </w:trPr>
        <w:tc>
          <w:tcPr>
            <w:tcW w:w="1007" w:type="dxa"/>
            <w:vMerge/>
            <w:vAlign w:val="center"/>
          </w:tcPr>
          <w:p w14:paraId="75FE3C6F" w14:textId="77777777" w:rsidR="00BA1C4E" w:rsidRPr="006D372F" w:rsidRDefault="00BA1C4E">
            <w:pPr>
              <w:jc w:val="center"/>
              <w:rPr>
                <w:rFonts w:ascii="Times New Roman" w:eastAsia="宋体" w:hAnsi="Times New Roman"/>
                <w:sz w:val="18"/>
                <w:szCs w:val="18"/>
              </w:rPr>
            </w:pPr>
          </w:p>
        </w:tc>
        <w:tc>
          <w:tcPr>
            <w:tcW w:w="661" w:type="dxa"/>
            <w:vMerge/>
            <w:vAlign w:val="center"/>
          </w:tcPr>
          <w:p w14:paraId="35616769" w14:textId="77777777" w:rsidR="00BA1C4E" w:rsidRPr="006D372F" w:rsidRDefault="00BA1C4E">
            <w:pPr>
              <w:jc w:val="center"/>
              <w:rPr>
                <w:rFonts w:ascii="Times New Roman" w:eastAsia="宋体" w:hAnsi="Times New Roman"/>
                <w:sz w:val="18"/>
                <w:szCs w:val="18"/>
              </w:rPr>
            </w:pPr>
          </w:p>
        </w:tc>
        <w:tc>
          <w:tcPr>
            <w:tcW w:w="1417" w:type="dxa"/>
            <w:vAlign w:val="center"/>
          </w:tcPr>
          <w:p w14:paraId="74C8EEFF"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土壤阻隔填埋技术</w:t>
            </w:r>
          </w:p>
        </w:tc>
        <w:tc>
          <w:tcPr>
            <w:tcW w:w="2160" w:type="dxa"/>
            <w:vAlign w:val="center"/>
          </w:tcPr>
          <w:p w14:paraId="5B85B441"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均可</w:t>
            </w:r>
          </w:p>
        </w:tc>
        <w:tc>
          <w:tcPr>
            <w:tcW w:w="1081" w:type="dxa"/>
            <w:vAlign w:val="center"/>
          </w:tcPr>
          <w:p w14:paraId="33611920"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7</w:t>
            </w:r>
            <w:r w:rsidRPr="006D372F">
              <w:rPr>
                <w:rFonts w:ascii="Times New Roman" w:eastAsia="宋体" w:hAnsi="Times New Roman"/>
                <w:sz w:val="18"/>
                <w:szCs w:val="18"/>
              </w:rPr>
              <w:t>天</w:t>
            </w:r>
          </w:p>
        </w:tc>
        <w:tc>
          <w:tcPr>
            <w:tcW w:w="1082" w:type="dxa"/>
            <w:vAlign w:val="center"/>
          </w:tcPr>
          <w:p w14:paraId="2F0DAF9A"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低</w:t>
            </w:r>
          </w:p>
        </w:tc>
        <w:tc>
          <w:tcPr>
            <w:tcW w:w="1081" w:type="dxa"/>
            <w:vAlign w:val="center"/>
          </w:tcPr>
          <w:p w14:paraId="3B166BA8"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高</w:t>
            </w:r>
          </w:p>
        </w:tc>
        <w:tc>
          <w:tcPr>
            <w:tcW w:w="1082" w:type="dxa"/>
            <w:vAlign w:val="center"/>
          </w:tcPr>
          <w:p w14:paraId="662CD529"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数年</w:t>
            </w:r>
          </w:p>
        </w:tc>
      </w:tr>
      <w:tr w:rsidR="00BA1C4E" w14:paraId="3DF6371E" w14:textId="77777777" w:rsidTr="00D47D01">
        <w:trPr>
          <w:trHeight w:val="386"/>
          <w:jc w:val="center"/>
        </w:trPr>
        <w:tc>
          <w:tcPr>
            <w:tcW w:w="1007" w:type="dxa"/>
            <w:vMerge/>
            <w:vAlign w:val="center"/>
          </w:tcPr>
          <w:p w14:paraId="01D56E5A" w14:textId="77777777" w:rsidR="00BA1C4E" w:rsidRPr="006D372F" w:rsidRDefault="00BA1C4E">
            <w:pPr>
              <w:jc w:val="center"/>
              <w:rPr>
                <w:rFonts w:ascii="Times New Roman" w:eastAsia="宋体" w:hAnsi="Times New Roman"/>
                <w:sz w:val="18"/>
                <w:szCs w:val="18"/>
              </w:rPr>
            </w:pPr>
          </w:p>
        </w:tc>
        <w:tc>
          <w:tcPr>
            <w:tcW w:w="661" w:type="dxa"/>
            <w:vMerge/>
            <w:vAlign w:val="center"/>
          </w:tcPr>
          <w:p w14:paraId="73F713BC" w14:textId="77777777" w:rsidR="00BA1C4E" w:rsidRPr="006D372F" w:rsidRDefault="00BA1C4E">
            <w:pPr>
              <w:jc w:val="center"/>
              <w:rPr>
                <w:rFonts w:ascii="Times New Roman" w:eastAsia="宋体" w:hAnsi="Times New Roman"/>
                <w:sz w:val="18"/>
                <w:szCs w:val="18"/>
              </w:rPr>
            </w:pPr>
          </w:p>
        </w:tc>
        <w:tc>
          <w:tcPr>
            <w:tcW w:w="1417" w:type="dxa"/>
            <w:vAlign w:val="center"/>
          </w:tcPr>
          <w:p w14:paraId="68BD1778"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化学还原技术</w:t>
            </w:r>
          </w:p>
        </w:tc>
        <w:tc>
          <w:tcPr>
            <w:tcW w:w="2160" w:type="dxa"/>
            <w:vAlign w:val="center"/>
          </w:tcPr>
          <w:p w14:paraId="393A5765"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适合铬污染，土壤量少</w:t>
            </w:r>
          </w:p>
        </w:tc>
        <w:tc>
          <w:tcPr>
            <w:tcW w:w="1081" w:type="dxa"/>
            <w:vAlign w:val="center"/>
          </w:tcPr>
          <w:p w14:paraId="0E37A0C0" w14:textId="77777777" w:rsidR="00BA1C4E" w:rsidRPr="006D372F" w:rsidRDefault="008E428B">
            <w:pPr>
              <w:jc w:val="center"/>
              <w:rPr>
                <w:rFonts w:ascii="Times New Roman" w:eastAsia="宋体" w:hAnsi="Times New Roman"/>
                <w:color w:val="000000" w:themeColor="text1"/>
                <w:sz w:val="18"/>
                <w:szCs w:val="18"/>
              </w:rPr>
            </w:pPr>
            <w:r w:rsidRPr="006D372F">
              <w:rPr>
                <w:rFonts w:ascii="Times New Roman" w:eastAsia="宋体" w:hAnsi="Times New Roman"/>
                <w:color w:val="000000" w:themeColor="text1"/>
                <w:sz w:val="18"/>
                <w:szCs w:val="18"/>
              </w:rPr>
              <w:t>几天</w:t>
            </w:r>
          </w:p>
        </w:tc>
        <w:tc>
          <w:tcPr>
            <w:tcW w:w="1082" w:type="dxa"/>
            <w:vAlign w:val="center"/>
          </w:tcPr>
          <w:p w14:paraId="071E9E2D"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低或中</w:t>
            </w:r>
          </w:p>
        </w:tc>
        <w:tc>
          <w:tcPr>
            <w:tcW w:w="1081" w:type="dxa"/>
            <w:vAlign w:val="center"/>
          </w:tcPr>
          <w:p w14:paraId="3CA6CF35"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中</w:t>
            </w:r>
          </w:p>
        </w:tc>
        <w:tc>
          <w:tcPr>
            <w:tcW w:w="1082" w:type="dxa"/>
            <w:vAlign w:val="center"/>
          </w:tcPr>
          <w:p w14:paraId="6667FA32"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长期</w:t>
            </w:r>
          </w:p>
        </w:tc>
      </w:tr>
      <w:tr w:rsidR="00BA1C4E" w14:paraId="6BB37944" w14:textId="77777777" w:rsidTr="00D47D01">
        <w:trPr>
          <w:trHeight w:val="304"/>
          <w:jc w:val="center"/>
        </w:trPr>
        <w:tc>
          <w:tcPr>
            <w:tcW w:w="1007" w:type="dxa"/>
            <w:vMerge/>
            <w:vAlign w:val="center"/>
          </w:tcPr>
          <w:p w14:paraId="29AD4368" w14:textId="77777777" w:rsidR="00BA1C4E" w:rsidRPr="006D372F" w:rsidRDefault="00BA1C4E">
            <w:pPr>
              <w:jc w:val="center"/>
              <w:rPr>
                <w:rFonts w:ascii="Times New Roman" w:eastAsia="宋体" w:hAnsi="Times New Roman"/>
                <w:sz w:val="18"/>
                <w:szCs w:val="18"/>
              </w:rPr>
            </w:pPr>
          </w:p>
        </w:tc>
        <w:tc>
          <w:tcPr>
            <w:tcW w:w="661" w:type="dxa"/>
            <w:vMerge/>
            <w:vAlign w:val="center"/>
          </w:tcPr>
          <w:p w14:paraId="76FFA786" w14:textId="77777777" w:rsidR="00BA1C4E" w:rsidRPr="006D372F" w:rsidRDefault="00BA1C4E">
            <w:pPr>
              <w:jc w:val="center"/>
              <w:rPr>
                <w:rFonts w:ascii="Times New Roman" w:eastAsia="宋体" w:hAnsi="Times New Roman"/>
                <w:sz w:val="18"/>
                <w:szCs w:val="18"/>
              </w:rPr>
            </w:pPr>
          </w:p>
        </w:tc>
        <w:tc>
          <w:tcPr>
            <w:tcW w:w="1417" w:type="dxa"/>
            <w:vAlign w:val="center"/>
          </w:tcPr>
          <w:p w14:paraId="48CAA91B"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异位土壤洗脱技术</w:t>
            </w:r>
          </w:p>
        </w:tc>
        <w:tc>
          <w:tcPr>
            <w:tcW w:w="2160" w:type="dxa"/>
            <w:vAlign w:val="center"/>
          </w:tcPr>
          <w:p w14:paraId="21C63A2A"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均可，要求土壤且土壤粘</w:t>
            </w:r>
            <w:r w:rsidRPr="006D372F">
              <w:rPr>
                <w:rFonts w:ascii="Times New Roman" w:eastAsia="宋体" w:hAnsi="Times New Roman"/>
                <w:sz w:val="18"/>
                <w:szCs w:val="18"/>
              </w:rPr>
              <w:t>/</w:t>
            </w:r>
            <w:r w:rsidRPr="006D372F">
              <w:rPr>
                <w:rFonts w:ascii="Times New Roman" w:eastAsia="宋体" w:hAnsi="Times New Roman"/>
                <w:sz w:val="18"/>
                <w:szCs w:val="18"/>
              </w:rPr>
              <w:t>粉粒含量低于</w:t>
            </w:r>
            <w:r w:rsidRPr="006D372F">
              <w:rPr>
                <w:rFonts w:ascii="Times New Roman" w:eastAsia="宋体" w:hAnsi="Times New Roman"/>
                <w:sz w:val="18"/>
                <w:szCs w:val="18"/>
              </w:rPr>
              <w:t xml:space="preserve">25% </w:t>
            </w:r>
            <w:r w:rsidRPr="006D372F">
              <w:rPr>
                <w:rFonts w:ascii="Times New Roman" w:eastAsia="宋体" w:hAnsi="Times New Roman"/>
                <w:sz w:val="18"/>
                <w:szCs w:val="18"/>
              </w:rPr>
              <w:t>，土壤量少，铬特别适合</w:t>
            </w:r>
          </w:p>
        </w:tc>
        <w:tc>
          <w:tcPr>
            <w:tcW w:w="1081" w:type="dxa"/>
            <w:vAlign w:val="center"/>
          </w:tcPr>
          <w:p w14:paraId="4CB2306E"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几天</w:t>
            </w:r>
          </w:p>
        </w:tc>
        <w:tc>
          <w:tcPr>
            <w:tcW w:w="1082" w:type="dxa"/>
            <w:vAlign w:val="center"/>
          </w:tcPr>
          <w:p w14:paraId="6AF8B743"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高</w:t>
            </w:r>
          </w:p>
        </w:tc>
        <w:tc>
          <w:tcPr>
            <w:tcW w:w="1081" w:type="dxa"/>
            <w:vAlign w:val="center"/>
          </w:tcPr>
          <w:p w14:paraId="629B743B"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中</w:t>
            </w:r>
          </w:p>
        </w:tc>
        <w:tc>
          <w:tcPr>
            <w:tcW w:w="1082" w:type="dxa"/>
            <w:vAlign w:val="center"/>
          </w:tcPr>
          <w:p w14:paraId="00C6F50C" w14:textId="77777777" w:rsidR="00BA1C4E" w:rsidRPr="006D372F" w:rsidRDefault="008E428B">
            <w:pPr>
              <w:jc w:val="center"/>
              <w:rPr>
                <w:rFonts w:ascii="Times New Roman" w:eastAsia="宋体" w:hAnsi="Times New Roman"/>
                <w:sz w:val="18"/>
                <w:szCs w:val="18"/>
              </w:rPr>
            </w:pPr>
            <w:r w:rsidRPr="006D372F">
              <w:rPr>
                <w:rFonts w:ascii="Times New Roman" w:eastAsia="宋体" w:hAnsi="Times New Roman"/>
                <w:sz w:val="18"/>
                <w:szCs w:val="18"/>
              </w:rPr>
              <w:t>长期</w:t>
            </w:r>
          </w:p>
        </w:tc>
      </w:tr>
    </w:tbl>
    <w:p w14:paraId="5F40107A" w14:textId="77777777" w:rsidR="00BA1C4E" w:rsidRDefault="008E428B">
      <w:pPr>
        <w:pStyle w:val="a0"/>
        <w:spacing w:before="312" w:after="312"/>
        <w:rPr>
          <w:color w:val="000000"/>
        </w:rPr>
      </w:pPr>
      <w:bookmarkStart w:id="203" w:name="BT7"/>
      <w:bookmarkStart w:id="204" w:name="_Toc140993883"/>
      <w:bookmarkEnd w:id="203"/>
      <w:r>
        <w:rPr>
          <w:rFonts w:hint="eastAsia"/>
          <w:color w:val="000000"/>
        </w:rPr>
        <w:t>评价应用要求</w:t>
      </w:r>
      <w:bookmarkEnd w:id="204"/>
    </w:p>
    <w:p w14:paraId="37C4F78E" w14:textId="0E8A5E61" w:rsidR="00BA1C4E" w:rsidRDefault="008E428B">
      <w:pPr>
        <w:pStyle w:val="aff4"/>
        <w:rPr>
          <w:rFonts w:hAnsi="宋体"/>
          <w:color w:val="000000"/>
          <w:szCs w:val="21"/>
        </w:rPr>
      </w:pPr>
      <w:r>
        <w:rPr>
          <w:rFonts w:hAnsi="宋体" w:hint="eastAsia"/>
          <w:color w:val="000000"/>
          <w:szCs w:val="21"/>
        </w:rPr>
        <w:t>土壤污染风险评估单位需在土壤污染风险评估阶段开展有色金属冶炼地块土壤重金属污染程度分级评价，为后期开展土壤分级治理提供支撑。结合目前的技术发展水平和应用状况，对有色冶炼地块重金属污染土壤分级治理技术进行了推荐，污染场地治理修复工程实施前可根据污染分级评价选择经济、有效的分级治理技术，根据修复目标选择最佳的修复策略，实现有色冶炼场地重金属污染的精准高效治理。本</w:t>
      </w:r>
      <w:r w:rsidR="007444A7">
        <w:rPr>
          <w:rFonts w:hAnsi="宋体" w:hint="eastAsia"/>
          <w:color w:val="000000"/>
          <w:szCs w:val="21"/>
        </w:rPr>
        <w:t>文件</w:t>
      </w:r>
      <w:r>
        <w:rPr>
          <w:rFonts w:hAnsi="宋体" w:hint="eastAsia"/>
          <w:color w:val="000000"/>
          <w:szCs w:val="21"/>
        </w:rPr>
        <w:t>所提到的修复技术为现阶段具有应用和开发价值的技术，在鼓励采用适用于特定场地的修复技术和技术组合的同时，应鼓励开发应用更加成熟、可靠、绿色的治理技术，并根据国内外污染场地治理技术水平的提高适时修订本</w:t>
      </w:r>
      <w:r w:rsidR="00145A5D">
        <w:rPr>
          <w:rFonts w:hAnsi="宋体" w:hint="eastAsia"/>
          <w:color w:val="000000"/>
          <w:szCs w:val="21"/>
        </w:rPr>
        <w:t>文件</w:t>
      </w:r>
      <w:r>
        <w:rPr>
          <w:rFonts w:hAnsi="宋体" w:hint="eastAsia"/>
          <w:color w:val="000000"/>
          <w:szCs w:val="21"/>
        </w:rPr>
        <w:t>。</w:t>
      </w:r>
    </w:p>
    <w:p w14:paraId="1A59D742" w14:textId="77777777" w:rsidR="00BA1C4E" w:rsidRDefault="008E428B">
      <w:pPr>
        <w:pStyle w:val="aff4"/>
        <w:ind w:firstLineChars="0" w:firstLine="0"/>
        <w:rPr>
          <w:rFonts w:ascii="Times New Roman"/>
          <w:color w:val="000000"/>
        </w:rPr>
      </w:pPr>
      <w:r>
        <w:rPr>
          <w:rFonts w:ascii="Times New Roman"/>
          <w:color w:val="000000"/>
        </w:rPr>
        <w:br w:type="page"/>
      </w:r>
    </w:p>
    <w:p w14:paraId="03A3BC32" w14:textId="11A83E1A" w:rsidR="00BA1C4E" w:rsidRDefault="008E428B">
      <w:pPr>
        <w:pStyle w:val="af0"/>
        <w:numPr>
          <w:ilvl w:val="0"/>
          <w:numId w:val="10"/>
        </w:numPr>
        <w:rPr>
          <w:rFonts w:ascii="Times New Roman"/>
          <w:color w:val="000000"/>
        </w:rPr>
      </w:pPr>
      <w:bookmarkStart w:id="205" w:name="_Toc309992151"/>
      <w:bookmarkStart w:id="206" w:name="_Toc309992150"/>
      <w:bookmarkStart w:id="207" w:name="_Toc16253"/>
      <w:bookmarkEnd w:id="205"/>
      <w:bookmarkEnd w:id="206"/>
      <w:r>
        <w:rPr>
          <w:rFonts w:ascii="Times New Roman"/>
          <w:color w:val="000000"/>
        </w:rPr>
        <w:lastRenderedPageBreak/>
        <w:br/>
      </w:r>
      <w:bookmarkStart w:id="208" w:name="_Toc304402673"/>
      <w:bookmarkStart w:id="209" w:name="_Toc298938644"/>
      <w:bookmarkStart w:id="210" w:name="_Toc309995488"/>
      <w:bookmarkStart w:id="211" w:name="_Toc309997056"/>
      <w:bookmarkStart w:id="212" w:name="_Toc304825091"/>
      <w:bookmarkStart w:id="213" w:name="_Toc304828082"/>
      <w:bookmarkStart w:id="214" w:name="_Toc309993196"/>
      <w:bookmarkStart w:id="215" w:name="_Toc505865642"/>
      <w:bookmarkStart w:id="216" w:name="_Toc304824979"/>
      <w:bookmarkStart w:id="217" w:name="_Toc309992152"/>
      <w:bookmarkStart w:id="218" w:name="_Toc309995406"/>
      <w:bookmarkStart w:id="219" w:name="_Toc499110439"/>
      <w:bookmarkStart w:id="220" w:name="_Toc309996015"/>
      <w:bookmarkStart w:id="221" w:name="_Toc309994567"/>
      <w:bookmarkStart w:id="222" w:name="_Toc304825018"/>
      <w:bookmarkStart w:id="223" w:name="_Toc310002653"/>
      <w:bookmarkStart w:id="224" w:name="_Toc309995594"/>
      <w:bookmarkStart w:id="225" w:name="_Toc298938792"/>
      <w:bookmarkStart w:id="226" w:name="_Toc140993884"/>
      <w:r>
        <w:rPr>
          <w:rFonts w:ascii="Times New Roman"/>
          <w:color w:val="000000"/>
        </w:rPr>
        <w:t>（</w:t>
      </w:r>
      <w:r>
        <w:rPr>
          <w:rFonts w:ascii="Times New Roman" w:hint="eastAsia"/>
          <w:color w:val="000000"/>
        </w:rPr>
        <w:t>资料</w:t>
      </w:r>
      <w:r w:rsidR="00204EC8">
        <w:rPr>
          <w:rFonts w:ascii="Times New Roman" w:hint="eastAsia"/>
          <w:color w:val="000000"/>
        </w:rPr>
        <w:t>性</w:t>
      </w:r>
      <w:r>
        <w:rPr>
          <w:rFonts w:ascii="Times New Roman"/>
          <w:color w:val="000000"/>
        </w:rPr>
        <w:t>）</w:t>
      </w:r>
      <w:r>
        <w:rPr>
          <w:rFonts w:ascii="Times New Roman"/>
          <w:color w:val="000000"/>
        </w:rPr>
        <w:br/>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Pr>
          <w:rFonts w:ascii="Times New Roman" w:hint="eastAsia"/>
          <w:color w:val="000000"/>
        </w:rPr>
        <w:t>GB 36600</w:t>
      </w:r>
      <w:r>
        <w:rPr>
          <w:rFonts w:ascii="Times New Roman" w:hint="eastAsia"/>
          <w:color w:val="000000"/>
        </w:rPr>
        <w:t>筛选值</w:t>
      </w:r>
      <w:bookmarkEnd w:id="226"/>
    </w:p>
    <w:p w14:paraId="3B778D00" w14:textId="77777777" w:rsidR="00BA1C4E" w:rsidRDefault="008E428B" w:rsidP="004F66B2">
      <w:pPr>
        <w:pStyle w:val="aff4"/>
        <w:spacing w:beforeLines="50" w:before="156" w:afterLines="50" w:after="156"/>
        <w:jc w:val="center"/>
        <w:rPr>
          <w:rFonts w:ascii="Times New Roman" w:eastAsia="黑体"/>
        </w:rPr>
      </w:pPr>
      <w:r>
        <w:rPr>
          <w:rFonts w:ascii="Times New Roman" w:eastAsia="黑体"/>
        </w:rPr>
        <w:t>表</w:t>
      </w:r>
      <w:r>
        <w:rPr>
          <w:rFonts w:ascii="Times New Roman" w:eastAsia="黑体"/>
        </w:rPr>
        <w:t xml:space="preserve">A.1 </w:t>
      </w:r>
      <w:r>
        <w:rPr>
          <w:rFonts w:ascii="Times New Roman" w:eastAsia="黑体"/>
        </w:rPr>
        <w:t>建设用地土壤污染风险筛选值</w:t>
      </w:r>
    </w:p>
    <w:p w14:paraId="746913BC" w14:textId="77777777" w:rsidR="00BA1C4E" w:rsidRDefault="008E428B" w:rsidP="00644A7D">
      <w:pPr>
        <w:pStyle w:val="aff4"/>
        <w:spacing w:before="50" w:after="50"/>
        <w:jc w:val="center"/>
        <w:rPr>
          <w:rFonts w:ascii="Times New Roman" w:eastAsia="黑体"/>
        </w:rPr>
      </w:pPr>
      <w:r>
        <w:rPr>
          <w:rFonts w:ascii="Times New Roman" w:eastAsia="黑体" w:hint="eastAsia"/>
        </w:rPr>
        <w:t xml:space="preserve"> </w:t>
      </w:r>
      <w:r>
        <w:rPr>
          <w:rFonts w:ascii="Times New Roman" w:eastAsia="黑体"/>
        </w:rPr>
        <w:t xml:space="preserve">                                                 </w:t>
      </w:r>
      <w:r>
        <w:rPr>
          <w:rFonts w:ascii="Times New Roman" w:eastAsia="黑体" w:hint="eastAsia"/>
        </w:rPr>
        <w:t>单位：</w:t>
      </w:r>
      <w:r>
        <w:rPr>
          <w:rFonts w:ascii="Times New Roman" w:eastAsia="黑体" w:hint="eastAsia"/>
        </w:rPr>
        <w:t>m</w:t>
      </w:r>
      <w:r>
        <w:rPr>
          <w:rFonts w:ascii="Times New Roman" w:eastAsia="黑体"/>
        </w:rPr>
        <w:t>g</w:t>
      </w:r>
      <w:r>
        <w:rPr>
          <w:rFonts w:ascii="Times New Roman" w:eastAsia="黑体" w:hint="eastAsia"/>
        </w:rPr>
        <w:t>/</w:t>
      </w:r>
      <w:r>
        <w:rPr>
          <w:rFonts w:ascii="Times New Roman" w:eastAsia="黑体"/>
        </w:rPr>
        <w:t>kg</w:t>
      </w:r>
    </w:p>
    <w:tbl>
      <w:tblPr>
        <w:tblStyle w:val="aff7"/>
        <w:tblW w:w="0" w:type="auto"/>
        <w:jc w:val="center"/>
        <w:tblLook w:val="04A0" w:firstRow="1" w:lastRow="0" w:firstColumn="1" w:lastColumn="0" w:noHBand="0" w:noVBand="1"/>
      </w:tblPr>
      <w:tblGrid>
        <w:gridCol w:w="1367"/>
        <w:gridCol w:w="1367"/>
        <w:gridCol w:w="1367"/>
        <w:gridCol w:w="1367"/>
        <w:gridCol w:w="1367"/>
      </w:tblGrid>
      <w:tr w:rsidR="00BA1C4E" w14:paraId="0B447760" w14:textId="77777777">
        <w:trPr>
          <w:jc w:val="center"/>
        </w:trPr>
        <w:tc>
          <w:tcPr>
            <w:tcW w:w="1367" w:type="dxa"/>
            <w:vMerge w:val="restart"/>
            <w:vAlign w:val="center"/>
          </w:tcPr>
          <w:p w14:paraId="7E271239" w14:textId="77777777" w:rsidR="00BA1C4E" w:rsidRDefault="008E428B">
            <w:pPr>
              <w:pStyle w:val="aff4"/>
              <w:ind w:firstLineChars="0" w:firstLine="0"/>
              <w:jc w:val="center"/>
            </w:pPr>
            <w:r>
              <w:rPr>
                <w:rFonts w:hint="eastAsia"/>
              </w:rPr>
              <w:t>序号</w:t>
            </w:r>
          </w:p>
        </w:tc>
        <w:tc>
          <w:tcPr>
            <w:tcW w:w="1367" w:type="dxa"/>
            <w:vMerge w:val="restart"/>
            <w:vAlign w:val="center"/>
          </w:tcPr>
          <w:p w14:paraId="3BF30985" w14:textId="77777777" w:rsidR="00BA1C4E" w:rsidRDefault="008E428B">
            <w:pPr>
              <w:pStyle w:val="aff4"/>
              <w:ind w:firstLineChars="0" w:firstLine="0"/>
              <w:jc w:val="center"/>
            </w:pPr>
            <w:r>
              <w:rPr>
                <w:rFonts w:hint="eastAsia"/>
              </w:rPr>
              <w:t>污染物项目</w:t>
            </w:r>
          </w:p>
        </w:tc>
        <w:tc>
          <w:tcPr>
            <w:tcW w:w="1367" w:type="dxa"/>
            <w:vMerge w:val="restart"/>
            <w:vAlign w:val="center"/>
          </w:tcPr>
          <w:p w14:paraId="75C1140C" w14:textId="77777777" w:rsidR="00BA1C4E" w:rsidRDefault="008E428B">
            <w:pPr>
              <w:pStyle w:val="aff4"/>
              <w:ind w:firstLineChars="0" w:firstLine="0"/>
              <w:jc w:val="center"/>
              <w:rPr>
                <w:rFonts w:ascii="Times New Roman"/>
              </w:rPr>
            </w:pPr>
            <w:r>
              <w:rPr>
                <w:rFonts w:ascii="Times New Roman"/>
              </w:rPr>
              <w:t>CAS</w:t>
            </w:r>
            <w:r>
              <w:rPr>
                <w:rFonts w:ascii="Times New Roman"/>
              </w:rPr>
              <w:t>编号</w:t>
            </w:r>
          </w:p>
        </w:tc>
        <w:tc>
          <w:tcPr>
            <w:tcW w:w="2734" w:type="dxa"/>
            <w:gridSpan w:val="2"/>
          </w:tcPr>
          <w:p w14:paraId="0B2AFD4F" w14:textId="77777777" w:rsidR="00BA1C4E" w:rsidRDefault="008E428B">
            <w:pPr>
              <w:pStyle w:val="aff4"/>
              <w:ind w:firstLineChars="0" w:firstLine="0"/>
              <w:jc w:val="center"/>
            </w:pPr>
            <w:r>
              <w:rPr>
                <w:rFonts w:hint="eastAsia"/>
              </w:rPr>
              <w:t>筛选值</w:t>
            </w:r>
          </w:p>
        </w:tc>
      </w:tr>
      <w:tr w:rsidR="00BA1C4E" w14:paraId="0201E04B" w14:textId="77777777">
        <w:trPr>
          <w:jc w:val="center"/>
        </w:trPr>
        <w:tc>
          <w:tcPr>
            <w:tcW w:w="1367" w:type="dxa"/>
            <w:vMerge/>
          </w:tcPr>
          <w:p w14:paraId="5CA44FC7" w14:textId="77777777" w:rsidR="00BA1C4E" w:rsidRDefault="00BA1C4E">
            <w:pPr>
              <w:pStyle w:val="aff4"/>
              <w:ind w:firstLineChars="0" w:firstLine="0"/>
            </w:pPr>
          </w:p>
        </w:tc>
        <w:tc>
          <w:tcPr>
            <w:tcW w:w="1367" w:type="dxa"/>
            <w:vMerge/>
          </w:tcPr>
          <w:p w14:paraId="26955E16" w14:textId="77777777" w:rsidR="00BA1C4E" w:rsidRDefault="00BA1C4E">
            <w:pPr>
              <w:pStyle w:val="aff4"/>
              <w:ind w:firstLineChars="0" w:firstLine="0"/>
            </w:pPr>
          </w:p>
        </w:tc>
        <w:tc>
          <w:tcPr>
            <w:tcW w:w="1367" w:type="dxa"/>
            <w:vMerge/>
          </w:tcPr>
          <w:p w14:paraId="4B472ED5" w14:textId="77777777" w:rsidR="00BA1C4E" w:rsidRDefault="00BA1C4E">
            <w:pPr>
              <w:pStyle w:val="aff4"/>
              <w:ind w:firstLineChars="0" w:firstLine="0"/>
            </w:pPr>
          </w:p>
        </w:tc>
        <w:tc>
          <w:tcPr>
            <w:tcW w:w="1367" w:type="dxa"/>
          </w:tcPr>
          <w:p w14:paraId="04DC8E1B" w14:textId="77777777" w:rsidR="00BA1C4E" w:rsidRDefault="008E428B">
            <w:pPr>
              <w:pStyle w:val="aff4"/>
              <w:ind w:firstLineChars="0" w:firstLine="0"/>
            </w:pPr>
            <w:r>
              <w:rPr>
                <w:rFonts w:hint="eastAsia"/>
              </w:rPr>
              <w:t>第一类用地</w:t>
            </w:r>
          </w:p>
        </w:tc>
        <w:tc>
          <w:tcPr>
            <w:tcW w:w="1367" w:type="dxa"/>
          </w:tcPr>
          <w:p w14:paraId="1C44446E" w14:textId="77777777" w:rsidR="00BA1C4E" w:rsidRDefault="008E428B">
            <w:pPr>
              <w:pStyle w:val="aff4"/>
              <w:ind w:firstLineChars="0" w:firstLine="0"/>
            </w:pPr>
            <w:r>
              <w:rPr>
                <w:rFonts w:hint="eastAsia"/>
              </w:rPr>
              <w:t>第二类用地</w:t>
            </w:r>
          </w:p>
        </w:tc>
      </w:tr>
      <w:tr w:rsidR="00BA1C4E" w14:paraId="1319E5F3" w14:textId="77777777">
        <w:trPr>
          <w:jc w:val="center"/>
        </w:trPr>
        <w:tc>
          <w:tcPr>
            <w:tcW w:w="1367" w:type="dxa"/>
          </w:tcPr>
          <w:p w14:paraId="1D0656CB" w14:textId="77777777" w:rsidR="00BA1C4E" w:rsidRDefault="008E428B">
            <w:pPr>
              <w:pStyle w:val="aff4"/>
              <w:ind w:firstLineChars="0" w:firstLine="0"/>
              <w:jc w:val="center"/>
              <w:rPr>
                <w:rFonts w:ascii="Times New Roman"/>
              </w:rPr>
            </w:pPr>
            <w:r>
              <w:rPr>
                <w:rFonts w:ascii="Times New Roman"/>
              </w:rPr>
              <w:t>1</w:t>
            </w:r>
          </w:p>
        </w:tc>
        <w:tc>
          <w:tcPr>
            <w:tcW w:w="1367" w:type="dxa"/>
          </w:tcPr>
          <w:p w14:paraId="173C7069" w14:textId="77777777" w:rsidR="00BA1C4E" w:rsidRDefault="008E428B">
            <w:pPr>
              <w:pStyle w:val="aff4"/>
              <w:ind w:firstLineChars="0" w:firstLine="0"/>
              <w:jc w:val="center"/>
              <w:rPr>
                <w:rFonts w:ascii="Times New Roman"/>
              </w:rPr>
            </w:pPr>
            <w:r>
              <w:rPr>
                <w:rFonts w:ascii="Times New Roman"/>
              </w:rPr>
              <w:t>砷</w:t>
            </w:r>
          </w:p>
        </w:tc>
        <w:tc>
          <w:tcPr>
            <w:tcW w:w="1367" w:type="dxa"/>
          </w:tcPr>
          <w:p w14:paraId="04B11B47" w14:textId="77777777" w:rsidR="00BA1C4E" w:rsidRDefault="008E428B">
            <w:pPr>
              <w:pStyle w:val="aff4"/>
              <w:ind w:firstLineChars="0" w:firstLine="0"/>
              <w:jc w:val="center"/>
              <w:rPr>
                <w:rFonts w:ascii="Times New Roman"/>
              </w:rPr>
            </w:pPr>
            <w:r>
              <w:rPr>
                <w:rFonts w:ascii="Times New Roman"/>
              </w:rPr>
              <w:t>7440-38-2</w:t>
            </w:r>
          </w:p>
        </w:tc>
        <w:tc>
          <w:tcPr>
            <w:tcW w:w="1367" w:type="dxa"/>
          </w:tcPr>
          <w:p w14:paraId="19702FF0" w14:textId="77777777" w:rsidR="00BA1C4E" w:rsidRDefault="008E428B">
            <w:pPr>
              <w:pStyle w:val="aff4"/>
              <w:ind w:firstLineChars="0" w:firstLine="0"/>
              <w:jc w:val="center"/>
              <w:rPr>
                <w:rFonts w:ascii="Times New Roman"/>
              </w:rPr>
            </w:pPr>
            <w:r>
              <w:rPr>
                <w:rFonts w:ascii="Times New Roman"/>
              </w:rPr>
              <w:t>20</w:t>
            </w:r>
          </w:p>
        </w:tc>
        <w:tc>
          <w:tcPr>
            <w:tcW w:w="1367" w:type="dxa"/>
          </w:tcPr>
          <w:p w14:paraId="7FEBC60D" w14:textId="77777777" w:rsidR="00BA1C4E" w:rsidRDefault="008E428B">
            <w:pPr>
              <w:pStyle w:val="aff4"/>
              <w:ind w:firstLineChars="0" w:firstLine="0"/>
              <w:jc w:val="center"/>
              <w:rPr>
                <w:rFonts w:ascii="Times New Roman"/>
              </w:rPr>
            </w:pPr>
            <w:r>
              <w:rPr>
                <w:rFonts w:ascii="Times New Roman"/>
              </w:rPr>
              <w:t>60</w:t>
            </w:r>
          </w:p>
        </w:tc>
      </w:tr>
      <w:tr w:rsidR="00BA1C4E" w14:paraId="0E765F8E" w14:textId="77777777">
        <w:trPr>
          <w:jc w:val="center"/>
        </w:trPr>
        <w:tc>
          <w:tcPr>
            <w:tcW w:w="1367" w:type="dxa"/>
          </w:tcPr>
          <w:p w14:paraId="63974D41" w14:textId="77777777" w:rsidR="00BA1C4E" w:rsidRDefault="008E428B">
            <w:pPr>
              <w:pStyle w:val="aff4"/>
              <w:ind w:firstLineChars="0" w:firstLine="0"/>
              <w:jc w:val="center"/>
              <w:rPr>
                <w:rFonts w:ascii="Times New Roman"/>
              </w:rPr>
            </w:pPr>
            <w:r>
              <w:rPr>
                <w:rFonts w:ascii="Times New Roman"/>
              </w:rPr>
              <w:t>2</w:t>
            </w:r>
          </w:p>
        </w:tc>
        <w:tc>
          <w:tcPr>
            <w:tcW w:w="1367" w:type="dxa"/>
          </w:tcPr>
          <w:p w14:paraId="3E7B965F" w14:textId="77777777" w:rsidR="00BA1C4E" w:rsidRDefault="008E428B">
            <w:pPr>
              <w:pStyle w:val="aff4"/>
              <w:ind w:firstLineChars="0" w:firstLine="0"/>
              <w:jc w:val="center"/>
              <w:rPr>
                <w:rFonts w:ascii="Times New Roman"/>
              </w:rPr>
            </w:pPr>
            <w:r>
              <w:rPr>
                <w:rFonts w:ascii="Times New Roman"/>
              </w:rPr>
              <w:t>镉</w:t>
            </w:r>
          </w:p>
        </w:tc>
        <w:tc>
          <w:tcPr>
            <w:tcW w:w="1367" w:type="dxa"/>
          </w:tcPr>
          <w:p w14:paraId="26449999" w14:textId="77777777" w:rsidR="00BA1C4E" w:rsidRDefault="008E428B">
            <w:pPr>
              <w:pStyle w:val="aff4"/>
              <w:ind w:firstLineChars="0" w:firstLine="0"/>
              <w:jc w:val="center"/>
              <w:rPr>
                <w:rFonts w:ascii="Times New Roman"/>
              </w:rPr>
            </w:pPr>
            <w:r>
              <w:rPr>
                <w:rFonts w:ascii="Times New Roman"/>
              </w:rPr>
              <w:t>7440-43-9</w:t>
            </w:r>
          </w:p>
        </w:tc>
        <w:tc>
          <w:tcPr>
            <w:tcW w:w="1367" w:type="dxa"/>
          </w:tcPr>
          <w:p w14:paraId="30C54951" w14:textId="77777777" w:rsidR="00BA1C4E" w:rsidRDefault="008E428B">
            <w:pPr>
              <w:pStyle w:val="aff4"/>
              <w:ind w:firstLineChars="0" w:firstLine="0"/>
              <w:jc w:val="center"/>
              <w:rPr>
                <w:rFonts w:ascii="Times New Roman"/>
              </w:rPr>
            </w:pPr>
            <w:r>
              <w:rPr>
                <w:rFonts w:ascii="Times New Roman"/>
              </w:rPr>
              <w:t>20</w:t>
            </w:r>
          </w:p>
        </w:tc>
        <w:tc>
          <w:tcPr>
            <w:tcW w:w="1367" w:type="dxa"/>
          </w:tcPr>
          <w:p w14:paraId="1B9A6DE3" w14:textId="77777777" w:rsidR="00BA1C4E" w:rsidRDefault="008E428B">
            <w:pPr>
              <w:pStyle w:val="aff4"/>
              <w:ind w:firstLineChars="0" w:firstLine="0"/>
              <w:jc w:val="center"/>
              <w:rPr>
                <w:rFonts w:ascii="Times New Roman"/>
              </w:rPr>
            </w:pPr>
            <w:r>
              <w:rPr>
                <w:rFonts w:ascii="Times New Roman"/>
              </w:rPr>
              <w:t>65</w:t>
            </w:r>
          </w:p>
        </w:tc>
      </w:tr>
      <w:tr w:rsidR="00BA1C4E" w14:paraId="11281DE7" w14:textId="77777777">
        <w:trPr>
          <w:jc w:val="center"/>
        </w:trPr>
        <w:tc>
          <w:tcPr>
            <w:tcW w:w="1367" w:type="dxa"/>
          </w:tcPr>
          <w:p w14:paraId="6E3C8600" w14:textId="77777777" w:rsidR="00BA1C4E" w:rsidRDefault="008E428B">
            <w:pPr>
              <w:pStyle w:val="aff4"/>
              <w:ind w:firstLineChars="0" w:firstLine="0"/>
              <w:jc w:val="center"/>
              <w:rPr>
                <w:rFonts w:ascii="Times New Roman"/>
              </w:rPr>
            </w:pPr>
            <w:r>
              <w:rPr>
                <w:rFonts w:ascii="Times New Roman"/>
              </w:rPr>
              <w:t>3</w:t>
            </w:r>
          </w:p>
        </w:tc>
        <w:tc>
          <w:tcPr>
            <w:tcW w:w="1367" w:type="dxa"/>
          </w:tcPr>
          <w:p w14:paraId="22EDAFC7" w14:textId="77777777" w:rsidR="00BA1C4E" w:rsidRDefault="008E428B">
            <w:pPr>
              <w:pStyle w:val="aff4"/>
              <w:ind w:firstLineChars="0" w:firstLine="0"/>
              <w:jc w:val="center"/>
              <w:rPr>
                <w:rFonts w:ascii="Times New Roman"/>
              </w:rPr>
            </w:pPr>
            <w:r>
              <w:rPr>
                <w:rFonts w:ascii="Times New Roman"/>
              </w:rPr>
              <w:t>铬（六价）</w:t>
            </w:r>
          </w:p>
        </w:tc>
        <w:tc>
          <w:tcPr>
            <w:tcW w:w="1367" w:type="dxa"/>
          </w:tcPr>
          <w:p w14:paraId="137D2FDA" w14:textId="77777777" w:rsidR="00BA1C4E" w:rsidRDefault="008E428B">
            <w:pPr>
              <w:pStyle w:val="aff4"/>
              <w:ind w:firstLineChars="0" w:firstLine="0"/>
              <w:jc w:val="center"/>
              <w:rPr>
                <w:rFonts w:ascii="Times New Roman"/>
              </w:rPr>
            </w:pPr>
            <w:r>
              <w:rPr>
                <w:rFonts w:ascii="Times New Roman"/>
              </w:rPr>
              <w:t>18540-29-9</w:t>
            </w:r>
          </w:p>
        </w:tc>
        <w:tc>
          <w:tcPr>
            <w:tcW w:w="1367" w:type="dxa"/>
          </w:tcPr>
          <w:p w14:paraId="44A16768" w14:textId="77777777" w:rsidR="00BA1C4E" w:rsidRDefault="008E428B">
            <w:pPr>
              <w:pStyle w:val="aff4"/>
              <w:ind w:firstLineChars="0" w:firstLine="0"/>
              <w:jc w:val="center"/>
              <w:rPr>
                <w:rFonts w:ascii="Times New Roman"/>
              </w:rPr>
            </w:pPr>
            <w:r>
              <w:rPr>
                <w:rFonts w:ascii="Times New Roman"/>
              </w:rPr>
              <w:t>3.0</w:t>
            </w:r>
          </w:p>
        </w:tc>
        <w:tc>
          <w:tcPr>
            <w:tcW w:w="1367" w:type="dxa"/>
          </w:tcPr>
          <w:p w14:paraId="7F08D6DF" w14:textId="77777777" w:rsidR="00BA1C4E" w:rsidRDefault="008E428B">
            <w:pPr>
              <w:pStyle w:val="aff4"/>
              <w:ind w:firstLineChars="0" w:firstLine="0"/>
              <w:jc w:val="center"/>
              <w:rPr>
                <w:rFonts w:ascii="Times New Roman"/>
              </w:rPr>
            </w:pPr>
            <w:r>
              <w:rPr>
                <w:rFonts w:ascii="Times New Roman"/>
              </w:rPr>
              <w:t>5.7</w:t>
            </w:r>
          </w:p>
        </w:tc>
      </w:tr>
      <w:tr w:rsidR="00BA1C4E" w14:paraId="1E91674C" w14:textId="77777777">
        <w:trPr>
          <w:jc w:val="center"/>
        </w:trPr>
        <w:tc>
          <w:tcPr>
            <w:tcW w:w="1367" w:type="dxa"/>
          </w:tcPr>
          <w:p w14:paraId="4B0FE82E" w14:textId="77777777" w:rsidR="00BA1C4E" w:rsidRDefault="008E428B">
            <w:pPr>
              <w:pStyle w:val="aff4"/>
              <w:ind w:firstLineChars="0" w:firstLine="0"/>
              <w:jc w:val="center"/>
              <w:rPr>
                <w:rFonts w:ascii="Times New Roman"/>
              </w:rPr>
            </w:pPr>
            <w:r>
              <w:rPr>
                <w:rFonts w:ascii="Times New Roman"/>
              </w:rPr>
              <w:t>4</w:t>
            </w:r>
          </w:p>
        </w:tc>
        <w:tc>
          <w:tcPr>
            <w:tcW w:w="1367" w:type="dxa"/>
          </w:tcPr>
          <w:p w14:paraId="3C4B0E91" w14:textId="77777777" w:rsidR="00BA1C4E" w:rsidRDefault="008E428B">
            <w:pPr>
              <w:pStyle w:val="aff4"/>
              <w:ind w:firstLineChars="0" w:firstLine="0"/>
              <w:jc w:val="center"/>
              <w:rPr>
                <w:rFonts w:ascii="Times New Roman"/>
              </w:rPr>
            </w:pPr>
            <w:r>
              <w:rPr>
                <w:rFonts w:ascii="Times New Roman"/>
              </w:rPr>
              <w:t>铜</w:t>
            </w:r>
          </w:p>
        </w:tc>
        <w:tc>
          <w:tcPr>
            <w:tcW w:w="1367" w:type="dxa"/>
          </w:tcPr>
          <w:p w14:paraId="267AB30F" w14:textId="77777777" w:rsidR="00BA1C4E" w:rsidRDefault="008E428B">
            <w:pPr>
              <w:pStyle w:val="aff4"/>
              <w:ind w:firstLineChars="0" w:firstLine="0"/>
              <w:jc w:val="center"/>
              <w:rPr>
                <w:rFonts w:ascii="Times New Roman"/>
              </w:rPr>
            </w:pPr>
            <w:r>
              <w:rPr>
                <w:rFonts w:ascii="Times New Roman"/>
              </w:rPr>
              <w:t>7440-50-8</w:t>
            </w:r>
          </w:p>
        </w:tc>
        <w:tc>
          <w:tcPr>
            <w:tcW w:w="1367" w:type="dxa"/>
          </w:tcPr>
          <w:p w14:paraId="4C340CE2" w14:textId="77777777" w:rsidR="00BA1C4E" w:rsidRDefault="008E428B">
            <w:pPr>
              <w:pStyle w:val="aff4"/>
              <w:ind w:firstLineChars="0" w:firstLine="0"/>
              <w:jc w:val="center"/>
              <w:rPr>
                <w:rFonts w:ascii="Times New Roman"/>
              </w:rPr>
            </w:pPr>
            <w:r>
              <w:rPr>
                <w:rFonts w:ascii="Times New Roman"/>
              </w:rPr>
              <w:t>2000</w:t>
            </w:r>
          </w:p>
        </w:tc>
        <w:tc>
          <w:tcPr>
            <w:tcW w:w="1367" w:type="dxa"/>
          </w:tcPr>
          <w:p w14:paraId="03DF0A0E" w14:textId="77777777" w:rsidR="00BA1C4E" w:rsidRDefault="008E428B">
            <w:pPr>
              <w:pStyle w:val="aff4"/>
              <w:ind w:firstLineChars="0" w:firstLine="0"/>
              <w:jc w:val="center"/>
              <w:rPr>
                <w:rFonts w:ascii="Times New Roman"/>
              </w:rPr>
            </w:pPr>
            <w:r>
              <w:rPr>
                <w:rFonts w:ascii="Times New Roman"/>
              </w:rPr>
              <w:t>18000</w:t>
            </w:r>
          </w:p>
        </w:tc>
      </w:tr>
      <w:tr w:rsidR="00BA1C4E" w14:paraId="5FCF0553" w14:textId="77777777">
        <w:trPr>
          <w:jc w:val="center"/>
        </w:trPr>
        <w:tc>
          <w:tcPr>
            <w:tcW w:w="1367" w:type="dxa"/>
          </w:tcPr>
          <w:p w14:paraId="4B348887" w14:textId="77777777" w:rsidR="00BA1C4E" w:rsidRDefault="008E428B">
            <w:pPr>
              <w:pStyle w:val="aff4"/>
              <w:ind w:firstLineChars="0" w:firstLine="0"/>
              <w:jc w:val="center"/>
              <w:rPr>
                <w:rFonts w:ascii="Times New Roman"/>
              </w:rPr>
            </w:pPr>
            <w:r>
              <w:rPr>
                <w:rFonts w:ascii="Times New Roman"/>
              </w:rPr>
              <w:t>5</w:t>
            </w:r>
          </w:p>
        </w:tc>
        <w:tc>
          <w:tcPr>
            <w:tcW w:w="1367" w:type="dxa"/>
          </w:tcPr>
          <w:p w14:paraId="39668C8B" w14:textId="77777777" w:rsidR="00BA1C4E" w:rsidRDefault="008E428B">
            <w:pPr>
              <w:pStyle w:val="aff4"/>
              <w:ind w:firstLineChars="0" w:firstLine="0"/>
              <w:jc w:val="center"/>
              <w:rPr>
                <w:rFonts w:ascii="Times New Roman"/>
              </w:rPr>
            </w:pPr>
            <w:r>
              <w:rPr>
                <w:rFonts w:ascii="Times New Roman"/>
              </w:rPr>
              <w:t>铅</w:t>
            </w:r>
          </w:p>
        </w:tc>
        <w:tc>
          <w:tcPr>
            <w:tcW w:w="1367" w:type="dxa"/>
          </w:tcPr>
          <w:p w14:paraId="2E2A80BF" w14:textId="77777777" w:rsidR="00BA1C4E" w:rsidRDefault="008E428B">
            <w:pPr>
              <w:pStyle w:val="aff4"/>
              <w:ind w:firstLineChars="0" w:firstLine="0"/>
              <w:jc w:val="center"/>
              <w:rPr>
                <w:rFonts w:ascii="Times New Roman"/>
              </w:rPr>
            </w:pPr>
            <w:r>
              <w:rPr>
                <w:rFonts w:ascii="Times New Roman"/>
              </w:rPr>
              <w:t>7439-92-1</w:t>
            </w:r>
          </w:p>
        </w:tc>
        <w:tc>
          <w:tcPr>
            <w:tcW w:w="1367" w:type="dxa"/>
          </w:tcPr>
          <w:p w14:paraId="2F99E778" w14:textId="77777777" w:rsidR="00BA1C4E" w:rsidRDefault="008E428B">
            <w:pPr>
              <w:pStyle w:val="aff4"/>
              <w:ind w:firstLineChars="0" w:firstLine="0"/>
              <w:jc w:val="center"/>
              <w:rPr>
                <w:rFonts w:ascii="Times New Roman"/>
              </w:rPr>
            </w:pPr>
            <w:r>
              <w:rPr>
                <w:rFonts w:ascii="Times New Roman"/>
              </w:rPr>
              <w:t>400</w:t>
            </w:r>
          </w:p>
        </w:tc>
        <w:tc>
          <w:tcPr>
            <w:tcW w:w="1367" w:type="dxa"/>
          </w:tcPr>
          <w:p w14:paraId="3E51B665" w14:textId="77777777" w:rsidR="00BA1C4E" w:rsidRDefault="008E428B">
            <w:pPr>
              <w:pStyle w:val="aff4"/>
              <w:ind w:firstLineChars="0" w:firstLine="0"/>
              <w:jc w:val="center"/>
              <w:rPr>
                <w:rFonts w:ascii="Times New Roman"/>
              </w:rPr>
            </w:pPr>
            <w:r>
              <w:rPr>
                <w:rFonts w:ascii="Times New Roman"/>
              </w:rPr>
              <w:t>800</w:t>
            </w:r>
          </w:p>
        </w:tc>
      </w:tr>
      <w:tr w:rsidR="00BA1C4E" w14:paraId="670BEFF6" w14:textId="77777777">
        <w:trPr>
          <w:jc w:val="center"/>
        </w:trPr>
        <w:tc>
          <w:tcPr>
            <w:tcW w:w="1367" w:type="dxa"/>
          </w:tcPr>
          <w:p w14:paraId="240C29AE" w14:textId="77777777" w:rsidR="00BA1C4E" w:rsidRDefault="008E428B">
            <w:pPr>
              <w:pStyle w:val="aff4"/>
              <w:ind w:firstLineChars="0" w:firstLine="0"/>
              <w:jc w:val="center"/>
              <w:rPr>
                <w:rFonts w:ascii="Times New Roman"/>
              </w:rPr>
            </w:pPr>
            <w:r>
              <w:rPr>
                <w:rFonts w:ascii="Times New Roman"/>
              </w:rPr>
              <w:t>6</w:t>
            </w:r>
          </w:p>
        </w:tc>
        <w:tc>
          <w:tcPr>
            <w:tcW w:w="1367" w:type="dxa"/>
          </w:tcPr>
          <w:p w14:paraId="01A7BA9A" w14:textId="77777777" w:rsidR="00BA1C4E" w:rsidRDefault="008E428B">
            <w:pPr>
              <w:pStyle w:val="aff4"/>
              <w:ind w:firstLineChars="0" w:firstLine="0"/>
              <w:jc w:val="center"/>
              <w:rPr>
                <w:rFonts w:ascii="Times New Roman"/>
              </w:rPr>
            </w:pPr>
            <w:r>
              <w:rPr>
                <w:rFonts w:ascii="Times New Roman"/>
              </w:rPr>
              <w:t>汞</w:t>
            </w:r>
          </w:p>
        </w:tc>
        <w:tc>
          <w:tcPr>
            <w:tcW w:w="1367" w:type="dxa"/>
          </w:tcPr>
          <w:p w14:paraId="1AAE56E0" w14:textId="77777777" w:rsidR="00BA1C4E" w:rsidRDefault="008E428B">
            <w:pPr>
              <w:pStyle w:val="aff4"/>
              <w:ind w:firstLineChars="0" w:firstLine="0"/>
              <w:jc w:val="center"/>
              <w:rPr>
                <w:rFonts w:ascii="Times New Roman"/>
              </w:rPr>
            </w:pPr>
            <w:r>
              <w:rPr>
                <w:rFonts w:ascii="Times New Roman"/>
              </w:rPr>
              <w:t>7439-97-6</w:t>
            </w:r>
          </w:p>
        </w:tc>
        <w:tc>
          <w:tcPr>
            <w:tcW w:w="1367" w:type="dxa"/>
          </w:tcPr>
          <w:p w14:paraId="2D479A4E" w14:textId="77777777" w:rsidR="00BA1C4E" w:rsidRDefault="008E428B">
            <w:pPr>
              <w:pStyle w:val="aff4"/>
              <w:ind w:firstLineChars="0" w:firstLine="0"/>
              <w:jc w:val="center"/>
              <w:rPr>
                <w:rFonts w:ascii="Times New Roman"/>
              </w:rPr>
            </w:pPr>
            <w:r>
              <w:rPr>
                <w:rFonts w:ascii="Times New Roman"/>
              </w:rPr>
              <w:t>8</w:t>
            </w:r>
          </w:p>
        </w:tc>
        <w:tc>
          <w:tcPr>
            <w:tcW w:w="1367" w:type="dxa"/>
          </w:tcPr>
          <w:p w14:paraId="2EF779E4" w14:textId="77777777" w:rsidR="00BA1C4E" w:rsidRDefault="008E428B">
            <w:pPr>
              <w:pStyle w:val="aff4"/>
              <w:ind w:firstLineChars="0" w:firstLine="0"/>
              <w:jc w:val="center"/>
              <w:rPr>
                <w:rFonts w:ascii="Times New Roman"/>
              </w:rPr>
            </w:pPr>
            <w:r>
              <w:rPr>
                <w:rFonts w:ascii="Times New Roman"/>
              </w:rPr>
              <w:t>38</w:t>
            </w:r>
          </w:p>
        </w:tc>
      </w:tr>
      <w:tr w:rsidR="00BA1C4E" w14:paraId="310191A1" w14:textId="77777777">
        <w:trPr>
          <w:jc w:val="center"/>
        </w:trPr>
        <w:tc>
          <w:tcPr>
            <w:tcW w:w="1367" w:type="dxa"/>
          </w:tcPr>
          <w:p w14:paraId="5001A78A" w14:textId="77777777" w:rsidR="00BA1C4E" w:rsidRDefault="008E428B">
            <w:pPr>
              <w:pStyle w:val="aff4"/>
              <w:ind w:firstLineChars="0" w:firstLine="0"/>
              <w:jc w:val="center"/>
              <w:rPr>
                <w:rFonts w:ascii="Times New Roman"/>
              </w:rPr>
            </w:pPr>
            <w:r>
              <w:rPr>
                <w:rFonts w:ascii="Times New Roman"/>
              </w:rPr>
              <w:t>7</w:t>
            </w:r>
          </w:p>
        </w:tc>
        <w:tc>
          <w:tcPr>
            <w:tcW w:w="1367" w:type="dxa"/>
          </w:tcPr>
          <w:p w14:paraId="6A854254" w14:textId="77777777" w:rsidR="00BA1C4E" w:rsidRDefault="008E428B">
            <w:pPr>
              <w:pStyle w:val="aff4"/>
              <w:ind w:firstLineChars="0" w:firstLine="0"/>
              <w:jc w:val="center"/>
              <w:rPr>
                <w:rFonts w:ascii="Times New Roman"/>
              </w:rPr>
            </w:pPr>
            <w:r>
              <w:rPr>
                <w:rFonts w:ascii="Times New Roman"/>
              </w:rPr>
              <w:t>镍</w:t>
            </w:r>
          </w:p>
        </w:tc>
        <w:tc>
          <w:tcPr>
            <w:tcW w:w="1367" w:type="dxa"/>
          </w:tcPr>
          <w:p w14:paraId="154E919F" w14:textId="77777777" w:rsidR="00BA1C4E" w:rsidRDefault="008E428B">
            <w:pPr>
              <w:pStyle w:val="aff4"/>
              <w:ind w:firstLineChars="0" w:firstLine="0"/>
              <w:jc w:val="center"/>
              <w:rPr>
                <w:rFonts w:ascii="Times New Roman"/>
              </w:rPr>
            </w:pPr>
            <w:r>
              <w:rPr>
                <w:rFonts w:ascii="Times New Roman"/>
              </w:rPr>
              <w:t>7440-02-0</w:t>
            </w:r>
          </w:p>
        </w:tc>
        <w:tc>
          <w:tcPr>
            <w:tcW w:w="1367" w:type="dxa"/>
          </w:tcPr>
          <w:p w14:paraId="023532F8" w14:textId="77777777" w:rsidR="00BA1C4E" w:rsidRDefault="008E428B">
            <w:pPr>
              <w:pStyle w:val="aff4"/>
              <w:ind w:firstLineChars="0" w:firstLine="0"/>
              <w:jc w:val="center"/>
              <w:rPr>
                <w:rFonts w:ascii="Times New Roman"/>
              </w:rPr>
            </w:pPr>
            <w:r>
              <w:rPr>
                <w:rFonts w:ascii="Times New Roman"/>
              </w:rPr>
              <w:t>150</w:t>
            </w:r>
          </w:p>
        </w:tc>
        <w:tc>
          <w:tcPr>
            <w:tcW w:w="1367" w:type="dxa"/>
          </w:tcPr>
          <w:p w14:paraId="4DF0FC08" w14:textId="77777777" w:rsidR="00BA1C4E" w:rsidRDefault="008E428B">
            <w:pPr>
              <w:pStyle w:val="aff4"/>
              <w:ind w:firstLineChars="0" w:firstLine="0"/>
              <w:jc w:val="center"/>
              <w:rPr>
                <w:rFonts w:ascii="Times New Roman"/>
              </w:rPr>
            </w:pPr>
            <w:r>
              <w:rPr>
                <w:rFonts w:ascii="Times New Roman"/>
              </w:rPr>
              <w:t>900</w:t>
            </w:r>
          </w:p>
        </w:tc>
      </w:tr>
      <w:tr w:rsidR="00BA1C4E" w14:paraId="76401080" w14:textId="77777777">
        <w:trPr>
          <w:jc w:val="center"/>
        </w:trPr>
        <w:tc>
          <w:tcPr>
            <w:tcW w:w="1367" w:type="dxa"/>
          </w:tcPr>
          <w:p w14:paraId="243CAC59" w14:textId="77777777" w:rsidR="00BA1C4E" w:rsidRDefault="008E428B">
            <w:pPr>
              <w:pStyle w:val="aff4"/>
              <w:ind w:firstLineChars="0" w:firstLine="0"/>
              <w:jc w:val="center"/>
              <w:rPr>
                <w:rFonts w:ascii="Times New Roman"/>
              </w:rPr>
            </w:pPr>
            <w:r>
              <w:rPr>
                <w:rFonts w:ascii="Times New Roman"/>
              </w:rPr>
              <w:t>8</w:t>
            </w:r>
          </w:p>
        </w:tc>
        <w:tc>
          <w:tcPr>
            <w:tcW w:w="1367" w:type="dxa"/>
          </w:tcPr>
          <w:p w14:paraId="46ACAA86" w14:textId="77777777" w:rsidR="00BA1C4E" w:rsidRDefault="008E428B">
            <w:pPr>
              <w:pStyle w:val="aff4"/>
              <w:ind w:firstLineChars="0" w:firstLine="0"/>
              <w:jc w:val="center"/>
              <w:rPr>
                <w:rFonts w:ascii="Times New Roman"/>
              </w:rPr>
            </w:pPr>
            <w:r>
              <w:rPr>
                <w:rFonts w:ascii="Times New Roman"/>
              </w:rPr>
              <w:t>锑</w:t>
            </w:r>
          </w:p>
        </w:tc>
        <w:tc>
          <w:tcPr>
            <w:tcW w:w="1367" w:type="dxa"/>
          </w:tcPr>
          <w:p w14:paraId="6916A880" w14:textId="77777777" w:rsidR="00BA1C4E" w:rsidRDefault="008E428B">
            <w:pPr>
              <w:pStyle w:val="aff4"/>
              <w:ind w:firstLineChars="0" w:firstLine="0"/>
              <w:jc w:val="center"/>
              <w:rPr>
                <w:rFonts w:ascii="Times New Roman"/>
              </w:rPr>
            </w:pPr>
            <w:r>
              <w:rPr>
                <w:rFonts w:ascii="Times New Roman"/>
              </w:rPr>
              <w:t>7440-36-0</w:t>
            </w:r>
          </w:p>
        </w:tc>
        <w:tc>
          <w:tcPr>
            <w:tcW w:w="1367" w:type="dxa"/>
          </w:tcPr>
          <w:p w14:paraId="254B1DD4" w14:textId="77777777" w:rsidR="00BA1C4E" w:rsidRDefault="008E428B">
            <w:pPr>
              <w:pStyle w:val="aff4"/>
              <w:ind w:firstLineChars="0" w:firstLine="0"/>
              <w:jc w:val="center"/>
              <w:rPr>
                <w:rFonts w:ascii="Times New Roman"/>
              </w:rPr>
            </w:pPr>
            <w:r>
              <w:rPr>
                <w:rFonts w:ascii="Times New Roman"/>
              </w:rPr>
              <w:t>20</w:t>
            </w:r>
          </w:p>
        </w:tc>
        <w:tc>
          <w:tcPr>
            <w:tcW w:w="1367" w:type="dxa"/>
          </w:tcPr>
          <w:p w14:paraId="4DC41400" w14:textId="77777777" w:rsidR="00BA1C4E" w:rsidRDefault="008E428B">
            <w:pPr>
              <w:pStyle w:val="aff4"/>
              <w:ind w:firstLineChars="0" w:firstLine="0"/>
              <w:jc w:val="center"/>
              <w:rPr>
                <w:rFonts w:ascii="Times New Roman"/>
              </w:rPr>
            </w:pPr>
            <w:r>
              <w:rPr>
                <w:rFonts w:ascii="Times New Roman"/>
              </w:rPr>
              <w:t>180</w:t>
            </w:r>
          </w:p>
        </w:tc>
      </w:tr>
    </w:tbl>
    <w:p w14:paraId="12C5E9CD" w14:textId="77777777" w:rsidR="00BA1C4E" w:rsidRDefault="008E428B">
      <w:pPr>
        <w:pStyle w:val="aff4"/>
        <w:rPr>
          <w:rFonts w:ascii="Times New Roman"/>
          <w:color w:val="000000"/>
        </w:rPr>
      </w:pPr>
      <w:r>
        <w:rPr>
          <w:rFonts w:ascii="Times New Roman"/>
          <w:color w:val="000000"/>
        </w:rPr>
        <w:br w:type="page"/>
      </w:r>
    </w:p>
    <w:p w14:paraId="4DA71525" w14:textId="2F8CC906" w:rsidR="00BA1C4E" w:rsidRDefault="008E428B">
      <w:pPr>
        <w:pStyle w:val="af0"/>
        <w:tabs>
          <w:tab w:val="left" w:pos="360"/>
        </w:tabs>
      </w:pPr>
      <w:bookmarkStart w:id="227" w:name="_Toc309992154"/>
      <w:bookmarkStart w:id="228" w:name="_Toc309992153"/>
      <w:bookmarkStart w:id="229" w:name="_Toc612"/>
      <w:bookmarkEnd w:id="227"/>
      <w:bookmarkEnd w:id="228"/>
      <w:r>
        <w:rPr>
          <w:rFonts w:ascii="Times New Roman"/>
          <w:color w:val="000000"/>
        </w:rPr>
        <w:lastRenderedPageBreak/>
        <w:br/>
      </w:r>
      <w:bookmarkStart w:id="230" w:name="_Toc309993197"/>
      <w:bookmarkStart w:id="231" w:name="_Toc309997057"/>
      <w:bookmarkStart w:id="232" w:name="_Toc310002654"/>
      <w:bookmarkStart w:id="233" w:name="_Toc309996016"/>
      <w:bookmarkStart w:id="234" w:name="_Toc499110440"/>
      <w:bookmarkStart w:id="235" w:name="_Toc304824980"/>
      <w:bookmarkStart w:id="236" w:name="_Toc505865643"/>
      <w:bookmarkStart w:id="237" w:name="_Toc304825092"/>
      <w:bookmarkStart w:id="238" w:name="_Toc309992155"/>
      <w:bookmarkStart w:id="239" w:name="_Toc309995489"/>
      <w:bookmarkStart w:id="240" w:name="_Toc309995407"/>
      <w:bookmarkStart w:id="241" w:name="_Toc298938793"/>
      <w:bookmarkStart w:id="242" w:name="_Toc309994568"/>
      <w:bookmarkStart w:id="243" w:name="_Toc304828083"/>
      <w:bookmarkStart w:id="244" w:name="_Toc298938645"/>
      <w:bookmarkStart w:id="245" w:name="_Toc309995595"/>
      <w:bookmarkStart w:id="246" w:name="_Toc304402674"/>
      <w:bookmarkStart w:id="247" w:name="_Toc304825019"/>
      <w:bookmarkStart w:id="248" w:name="_Toc140993885"/>
      <w:r>
        <w:rPr>
          <w:rFonts w:ascii="Times New Roman"/>
          <w:color w:val="000000"/>
        </w:rPr>
        <w:t>（资料性）</w:t>
      </w:r>
      <w:r>
        <w:rPr>
          <w:rFonts w:ascii="Times New Roman"/>
          <w:color w:val="000000"/>
        </w:rPr>
        <w:br/>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ascii="Times New Roman" w:hint="eastAsia"/>
          <w:color w:val="000000"/>
        </w:rPr>
        <w:t>人体可给性测试方法</w:t>
      </w:r>
      <w:r>
        <w:rPr>
          <w:rFonts w:ascii="宋体" w:eastAsia="宋体" w:hAnsi="宋体" w:hint="eastAsia"/>
          <w:color w:val="000000"/>
        </w:rPr>
        <w:t>(</w:t>
      </w:r>
      <w:r>
        <w:rPr>
          <w:rFonts w:ascii="Times New Roman" w:eastAsia="宋体"/>
          <w:color w:val="000000"/>
        </w:rPr>
        <w:t>SBET</w:t>
      </w:r>
      <w:r>
        <w:rPr>
          <w:rFonts w:ascii="宋体" w:eastAsia="宋体" w:hAnsi="宋体"/>
          <w:color w:val="000000"/>
        </w:rPr>
        <w:t>)</w:t>
      </w:r>
      <w:bookmarkEnd w:id="248"/>
    </w:p>
    <w:p w14:paraId="1DE304B6" w14:textId="77777777" w:rsidR="00BA1C4E" w:rsidRPr="00644A7D" w:rsidRDefault="008E428B">
      <w:pPr>
        <w:pStyle w:val="aff4"/>
        <w:ind w:firstLineChars="0" w:firstLine="0"/>
        <w:rPr>
          <w:rFonts w:ascii="黑体" w:eastAsia="黑体" w:hAnsi="黑体"/>
        </w:rPr>
      </w:pPr>
      <w:r w:rsidRPr="00644A7D">
        <w:rPr>
          <w:rFonts w:ascii="黑体" w:eastAsia="黑体" w:hAnsi="黑体"/>
        </w:rPr>
        <w:t>B1.1适用范围</w:t>
      </w:r>
    </w:p>
    <w:p w14:paraId="29386C8C" w14:textId="77777777" w:rsidR="00BA1C4E" w:rsidRDefault="008E428B">
      <w:pPr>
        <w:pStyle w:val="aff4"/>
        <w:rPr>
          <w:rFonts w:ascii="Times New Roman"/>
        </w:rPr>
      </w:pPr>
      <w:r>
        <w:rPr>
          <w:rFonts w:ascii="Times New Roman"/>
        </w:rPr>
        <w:t>本方法适用于土壤中铅、砷的体外人体可给性测试，要求土壤中总铅浓度不超过</w:t>
      </w:r>
      <w:r>
        <w:rPr>
          <w:rFonts w:ascii="Times New Roman"/>
        </w:rPr>
        <w:t>5000 mg/kg</w:t>
      </w:r>
      <w:r>
        <w:rPr>
          <w:rFonts w:ascii="Times New Roman"/>
        </w:rPr>
        <w:t>，总砷浓度不超过</w:t>
      </w:r>
      <w:r>
        <w:rPr>
          <w:rFonts w:ascii="Times New Roman"/>
        </w:rPr>
        <w:t>13000 mg/kg</w:t>
      </w:r>
      <w:r>
        <w:rPr>
          <w:rFonts w:ascii="Times New Roman" w:hint="eastAsia"/>
        </w:rPr>
        <w:t>，</w:t>
      </w:r>
      <w:r>
        <w:rPr>
          <w:rFonts w:ascii="Times New Roman"/>
        </w:rPr>
        <w:t>其他元素参照此方法。</w:t>
      </w:r>
    </w:p>
    <w:p w14:paraId="74A8F3B3" w14:textId="77777777" w:rsidR="00BA1C4E" w:rsidRPr="00644A7D" w:rsidRDefault="008E428B">
      <w:pPr>
        <w:pStyle w:val="aff4"/>
        <w:ind w:firstLineChars="0" w:firstLine="0"/>
        <w:rPr>
          <w:rFonts w:ascii="黑体" w:eastAsia="黑体" w:hAnsi="黑体"/>
        </w:rPr>
      </w:pPr>
      <w:r w:rsidRPr="00644A7D">
        <w:rPr>
          <w:rFonts w:ascii="黑体" w:eastAsia="黑体" w:hAnsi="黑体"/>
        </w:rPr>
        <w:t>B1.2方法概述</w:t>
      </w:r>
    </w:p>
    <w:p w14:paraId="109A06C0" w14:textId="77777777" w:rsidR="00BA1C4E" w:rsidRDefault="008E428B">
      <w:pPr>
        <w:pStyle w:val="aff4"/>
        <w:rPr>
          <w:rFonts w:ascii="Times New Roman"/>
        </w:rPr>
      </w:pPr>
      <w:r>
        <w:rPr>
          <w:rFonts w:ascii="Times New Roman"/>
        </w:rPr>
        <w:t>对土壤样品进行干燥研磨等预处理后，过筛至粒径为</w:t>
      </w:r>
      <w:r>
        <w:rPr>
          <w:rFonts w:ascii="Times New Roman"/>
        </w:rPr>
        <w:t xml:space="preserve">150 </w:t>
      </w:r>
      <w:proofErr w:type="spellStart"/>
      <w:r>
        <w:rPr>
          <w:rFonts w:ascii="Times New Roman"/>
        </w:rPr>
        <w:t>μm</w:t>
      </w:r>
      <w:proofErr w:type="spellEnd"/>
      <w:r>
        <w:rPr>
          <w:rFonts w:ascii="Times New Roman"/>
        </w:rPr>
        <w:t>以下。准确称取</w:t>
      </w:r>
      <w:r>
        <w:rPr>
          <w:rFonts w:ascii="Times New Roman"/>
        </w:rPr>
        <w:t>1.000 g</w:t>
      </w:r>
      <w:r>
        <w:rPr>
          <w:rFonts w:ascii="Times New Roman"/>
        </w:rPr>
        <w:t>土壤，在</w:t>
      </w:r>
      <w:r>
        <w:rPr>
          <w:rFonts w:ascii="Times New Roman"/>
        </w:rPr>
        <w:t xml:space="preserve">37°C </w:t>
      </w:r>
      <w:r>
        <w:rPr>
          <w:rFonts w:ascii="Times New Roman"/>
        </w:rPr>
        <w:t>下，用</w:t>
      </w:r>
      <w:r>
        <w:rPr>
          <w:rFonts w:ascii="Times New Roman"/>
        </w:rPr>
        <w:t>100 mL</w:t>
      </w:r>
      <w:r>
        <w:rPr>
          <w:rFonts w:ascii="Times New Roman"/>
        </w:rPr>
        <w:t>的</w:t>
      </w:r>
      <w:r>
        <w:rPr>
          <w:rFonts w:ascii="Times New Roman"/>
        </w:rPr>
        <w:t>0.4 M</w:t>
      </w:r>
      <w:r>
        <w:rPr>
          <w:rFonts w:ascii="Times New Roman"/>
        </w:rPr>
        <w:t>甘氨酸缓冲液消化混合</w:t>
      </w:r>
      <w:r>
        <w:rPr>
          <w:rFonts w:ascii="Times New Roman"/>
        </w:rPr>
        <w:t>1 h</w:t>
      </w:r>
      <w:r>
        <w:rPr>
          <w:rFonts w:ascii="Times New Roman"/>
        </w:rPr>
        <w:t>，将混合液过滤后提取上清液，分析上清液中砷或铅的含量。</w:t>
      </w:r>
    </w:p>
    <w:p w14:paraId="0001BCCF" w14:textId="77777777" w:rsidR="00BA1C4E" w:rsidRPr="00644A7D" w:rsidRDefault="008E428B">
      <w:pPr>
        <w:pStyle w:val="aff4"/>
        <w:ind w:firstLineChars="0" w:firstLine="0"/>
        <w:rPr>
          <w:rFonts w:ascii="黑体" w:eastAsia="黑体" w:hAnsi="黑体"/>
        </w:rPr>
      </w:pPr>
      <w:r w:rsidRPr="00644A7D">
        <w:rPr>
          <w:rFonts w:ascii="黑体" w:eastAsia="黑体" w:hAnsi="黑体"/>
        </w:rPr>
        <w:t>B1.3 试剂和材料</w:t>
      </w:r>
    </w:p>
    <w:p w14:paraId="5DB5087F" w14:textId="77777777" w:rsidR="00BA1C4E" w:rsidRDefault="008E428B">
      <w:pPr>
        <w:pStyle w:val="aff4"/>
        <w:rPr>
          <w:rFonts w:ascii="Times New Roman"/>
        </w:rPr>
      </w:pPr>
      <w:r>
        <w:rPr>
          <w:rFonts w:ascii="Times New Roman"/>
        </w:rPr>
        <w:t>除非另有说明，本方法所有试剂应使用符合国家标准的分析纯试剂，所有试剂均不含铅或砷。实验用水为去离子水。</w:t>
      </w:r>
    </w:p>
    <w:p w14:paraId="0513CBEE" w14:textId="77777777" w:rsidR="00BA1C4E" w:rsidRDefault="008E428B">
      <w:pPr>
        <w:pStyle w:val="aff4"/>
        <w:rPr>
          <w:rFonts w:ascii="Times New Roman"/>
        </w:rPr>
      </w:pPr>
      <w:r>
        <w:rPr>
          <w:rFonts w:ascii="Times New Roman"/>
        </w:rPr>
        <w:t>(1)</w:t>
      </w:r>
      <w:r>
        <w:rPr>
          <w:rFonts w:ascii="Times New Roman"/>
        </w:rPr>
        <w:t>甘氨酸萃取液：称取</w:t>
      </w:r>
      <w:r>
        <w:rPr>
          <w:rFonts w:ascii="Times New Roman"/>
        </w:rPr>
        <w:t>60.06 ± 0.05 g</w:t>
      </w:r>
      <w:r>
        <w:rPr>
          <w:rFonts w:ascii="Times New Roman"/>
        </w:rPr>
        <w:t>甘氨酸（无碱）加入盛有</w:t>
      </w:r>
      <w:r>
        <w:rPr>
          <w:rFonts w:ascii="Times New Roman"/>
        </w:rPr>
        <w:t>1.9 L</w:t>
      </w:r>
      <w:r>
        <w:rPr>
          <w:rFonts w:ascii="Times New Roman"/>
        </w:rPr>
        <w:t>去离子水的容量瓶中，</w:t>
      </w:r>
      <w:r>
        <w:rPr>
          <w:rFonts w:ascii="Times New Roman"/>
        </w:rPr>
        <w:t xml:space="preserve"> </w:t>
      </w:r>
      <w:r>
        <w:rPr>
          <w:rFonts w:ascii="Times New Roman"/>
        </w:rPr>
        <w:t>为了便于操作可将溶液转移至合适容积的广口高密度聚乙烯（</w:t>
      </w:r>
      <w:r>
        <w:rPr>
          <w:rFonts w:ascii="Times New Roman"/>
        </w:rPr>
        <w:t>HDPE</w:t>
      </w:r>
      <w:r>
        <w:rPr>
          <w:rFonts w:ascii="Times New Roman"/>
        </w:rPr>
        <w:t>）瓶中。在</w:t>
      </w:r>
      <w:r>
        <w:rPr>
          <w:rFonts w:ascii="Times New Roman"/>
        </w:rPr>
        <w:t>37℃</w:t>
      </w:r>
      <w:r>
        <w:rPr>
          <w:rFonts w:ascii="Times New Roman"/>
        </w:rPr>
        <w:t>水浴条件下，将</w:t>
      </w:r>
      <w:r>
        <w:rPr>
          <w:rFonts w:ascii="Times New Roman"/>
        </w:rPr>
        <w:t>HDPE</w:t>
      </w:r>
      <w:r>
        <w:rPr>
          <w:rFonts w:ascii="Times New Roman"/>
        </w:rPr>
        <w:t>瓶中的萃取液加热至</w:t>
      </w:r>
      <w:r>
        <w:rPr>
          <w:rFonts w:ascii="Times New Roman"/>
        </w:rPr>
        <w:t>37℃</w:t>
      </w:r>
      <w:r>
        <w:rPr>
          <w:rFonts w:ascii="Times New Roman"/>
        </w:rPr>
        <w:t>，并采用</w:t>
      </w:r>
      <w:r>
        <w:rPr>
          <w:rFonts w:ascii="Times New Roman"/>
        </w:rPr>
        <w:t>37℃</w:t>
      </w:r>
      <w:r>
        <w:rPr>
          <w:rFonts w:ascii="Times New Roman"/>
        </w:rPr>
        <w:t>条件下的自动温度补偿（</w:t>
      </w:r>
      <w:r>
        <w:rPr>
          <w:rFonts w:ascii="Times New Roman"/>
        </w:rPr>
        <w:t>ATC</w:t>
      </w:r>
      <w:r>
        <w:rPr>
          <w:rFonts w:ascii="Times New Roman"/>
        </w:rPr>
        <w:t>）</w:t>
      </w:r>
      <w:r>
        <w:rPr>
          <w:rFonts w:ascii="Times New Roman"/>
        </w:rPr>
        <w:t>pH</w:t>
      </w:r>
      <w:r>
        <w:rPr>
          <w:rFonts w:ascii="Times New Roman"/>
        </w:rPr>
        <w:t>电极或</w:t>
      </w:r>
      <w:r>
        <w:rPr>
          <w:rFonts w:ascii="Times New Roman"/>
        </w:rPr>
        <w:t>37℃</w:t>
      </w:r>
      <w:r>
        <w:rPr>
          <w:rFonts w:ascii="Times New Roman"/>
        </w:rPr>
        <w:t>水浴条件下的</w:t>
      </w:r>
      <w:r>
        <w:rPr>
          <w:rFonts w:ascii="Times New Roman"/>
        </w:rPr>
        <w:t>pH</w:t>
      </w:r>
      <w:r>
        <w:rPr>
          <w:rFonts w:ascii="Times New Roman"/>
        </w:rPr>
        <w:t>缓冲液校准</w:t>
      </w:r>
      <w:r>
        <w:rPr>
          <w:rFonts w:ascii="Times New Roman"/>
        </w:rPr>
        <w:t>pH</w:t>
      </w:r>
      <w:r>
        <w:rPr>
          <w:rFonts w:ascii="Times New Roman"/>
        </w:rPr>
        <w:t>计，加入痕量金属级浓盐酸（</w:t>
      </w:r>
      <w:r>
        <w:rPr>
          <w:rFonts w:ascii="Times New Roman"/>
        </w:rPr>
        <w:t>12.1 N</w:t>
      </w:r>
      <w:r>
        <w:rPr>
          <w:rFonts w:ascii="Times New Roman"/>
        </w:rPr>
        <w:t>）调节溶液</w:t>
      </w:r>
      <w:r>
        <w:rPr>
          <w:rFonts w:ascii="Times New Roman"/>
        </w:rPr>
        <w:t>pH</w:t>
      </w:r>
      <w:r>
        <w:rPr>
          <w:rFonts w:ascii="Times New Roman"/>
        </w:rPr>
        <w:t>值为</w:t>
      </w:r>
      <w:r>
        <w:rPr>
          <w:rFonts w:ascii="Times New Roman"/>
        </w:rPr>
        <w:t>1.50 ± 0.05</w:t>
      </w:r>
      <w:r>
        <w:rPr>
          <w:rFonts w:ascii="Times New Roman"/>
        </w:rPr>
        <w:t>。最终定容于</w:t>
      </w:r>
      <w:r>
        <w:rPr>
          <w:rFonts w:ascii="Times New Roman"/>
        </w:rPr>
        <w:t>2 L</w:t>
      </w:r>
      <w:r>
        <w:rPr>
          <w:rFonts w:ascii="Times New Roman"/>
        </w:rPr>
        <w:t>容量瓶中（</w:t>
      </w:r>
      <w:r>
        <w:rPr>
          <w:rFonts w:ascii="Times New Roman"/>
        </w:rPr>
        <w:t>0.4 M</w:t>
      </w:r>
      <w:r>
        <w:rPr>
          <w:rFonts w:ascii="Times New Roman"/>
        </w:rPr>
        <w:t>甘氨酸萃取液）。萃取液在使用前必须加热到</w:t>
      </w:r>
      <w:r>
        <w:rPr>
          <w:rFonts w:ascii="Times New Roman"/>
        </w:rPr>
        <w:t>37℃</w:t>
      </w:r>
      <w:r>
        <w:rPr>
          <w:rFonts w:ascii="Times New Roman"/>
        </w:rPr>
        <w:t>，并调剂</w:t>
      </w:r>
      <w:r>
        <w:rPr>
          <w:rFonts w:ascii="Times New Roman"/>
        </w:rPr>
        <w:t>pH</w:t>
      </w:r>
      <w:r>
        <w:rPr>
          <w:rFonts w:ascii="Times New Roman"/>
        </w:rPr>
        <w:t>值为</w:t>
      </w:r>
      <w:r>
        <w:rPr>
          <w:rFonts w:ascii="Times New Roman"/>
        </w:rPr>
        <w:t>1.5</w:t>
      </w:r>
      <w:r>
        <w:rPr>
          <w:rFonts w:ascii="Times New Roman"/>
        </w:rPr>
        <w:t>。</w:t>
      </w:r>
    </w:p>
    <w:p w14:paraId="638317FD" w14:textId="77777777" w:rsidR="00BA1C4E" w:rsidRDefault="008E428B">
      <w:pPr>
        <w:pStyle w:val="aff4"/>
        <w:rPr>
          <w:rFonts w:ascii="Times New Roman"/>
        </w:rPr>
      </w:pPr>
      <w:r>
        <w:rPr>
          <w:rFonts w:ascii="Times New Roman"/>
        </w:rPr>
        <w:t>(2)</w:t>
      </w:r>
      <w:r>
        <w:rPr>
          <w:rFonts w:ascii="Times New Roman"/>
        </w:rPr>
        <w:t>所有玻璃器皿和设备在使用前必须进行水洗、酸洗，最后用去离子水清洗三次。</w:t>
      </w:r>
    </w:p>
    <w:p w14:paraId="373C3D65" w14:textId="77777777" w:rsidR="00BA1C4E" w:rsidRPr="00644A7D" w:rsidRDefault="008E428B">
      <w:pPr>
        <w:pStyle w:val="aff4"/>
        <w:ind w:firstLineChars="0" w:firstLine="0"/>
        <w:rPr>
          <w:rFonts w:ascii="黑体" w:eastAsia="黑体" w:hAnsi="黑体"/>
        </w:rPr>
      </w:pPr>
      <w:r w:rsidRPr="00644A7D">
        <w:rPr>
          <w:rFonts w:ascii="黑体" w:eastAsia="黑体" w:hAnsi="黑体"/>
        </w:rPr>
        <w:t>B1.4 仪器和设备</w:t>
      </w:r>
    </w:p>
    <w:p w14:paraId="1D0C2888" w14:textId="77777777" w:rsidR="00BA1C4E" w:rsidRDefault="008E428B">
      <w:pPr>
        <w:pStyle w:val="aff4"/>
        <w:rPr>
          <w:rFonts w:ascii="Times New Roman"/>
        </w:rPr>
      </w:pPr>
      <w:r>
        <w:rPr>
          <w:rFonts w:ascii="Times New Roman"/>
        </w:rPr>
        <w:t>本方法建议使用水浴加热或者空气浴加热。</w:t>
      </w:r>
    </w:p>
    <w:p w14:paraId="767B9EE7" w14:textId="77777777" w:rsidR="00BA1C4E" w:rsidRDefault="008E428B">
      <w:pPr>
        <w:pStyle w:val="aff4"/>
        <w:rPr>
          <w:rFonts w:ascii="Times New Roman"/>
        </w:rPr>
      </w:pPr>
      <w:r>
        <w:rPr>
          <w:rFonts w:ascii="Times New Roman"/>
        </w:rPr>
        <w:t>(1)</w:t>
      </w:r>
      <w:r>
        <w:rPr>
          <w:rFonts w:ascii="Times New Roman"/>
        </w:rPr>
        <w:tab/>
      </w:r>
      <w:r>
        <w:rPr>
          <w:rFonts w:ascii="Times New Roman"/>
        </w:rPr>
        <w:t>水浴加热设备：应保证水浴加热装置能够完全浸没</w:t>
      </w:r>
      <w:r>
        <w:rPr>
          <w:rFonts w:ascii="Times New Roman"/>
        </w:rPr>
        <w:t>125 mL</w:t>
      </w:r>
      <w:r>
        <w:rPr>
          <w:rFonts w:ascii="Times New Roman"/>
        </w:rPr>
        <w:t>的</w:t>
      </w:r>
      <w:r>
        <w:rPr>
          <w:rFonts w:ascii="Times New Roman"/>
        </w:rPr>
        <w:t>HDPE</w:t>
      </w:r>
      <w:r>
        <w:rPr>
          <w:rFonts w:ascii="Times New Roman"/>
        </w:rPr>
        <w:t>瓶，使温度保持在</w:t>
      </w:r>
      <w:r>
        <w:rPr>
          <w:rFonts w:ascii="Times New Roman"/>
        </w:rPr>
        <w:t>37 ± 2℃</w:t>
      </w:r>
      <w:r>
        <w:rPr>
          <w:rFonts w:ascii="Times New Roman"/>
        </w:rPr>
        <w:t>，并对温度进行监测和记录。驱动电机转速能够达到</w:t>
      </w:r>
      <w:r>
        <w:rPr>
          <w:rFonts w:ascii="Times New Roman"/>
        </w:rPr>
        <w:t>30 ± 2 rpm</w:t>
      </w:r>
      <w:r>
        <w:rPr>
          <w:rFonts w:ascii="Times New Roman"/>
        </w:rPr>
        <w:t>。</w:t>
      </w:r>
    </w:p>
    <w:p w14:paraId="7F8BF847" w14:textId="77777777" w:rsidR="00BA1C4E" w:rsidRDefault="008E428B">
      <w:pPr>
        <w:pStyle w:val="aff4"/>
        <w:rPr>
          <w:rFonts w:ascii="Times New Roman"/>
        </w:rPr>
      </w:pPr>
      <w:r>
        <w:rPr>
          <w:rFonts w:ascii="Times New Roman"/>
        </w:rPr>
        <w:t>(2)</w:t>
      </w:r>
      <w:r>
        <w:rPr>
          <w:rFonts w:ascii="Times New Roman"/>
        </w:rPr>
        <w:tab/>
      </w:r>
      <w:r>
        <w:rPr>
          <w:rFonts w:ascii="Times New Roman"/>
        </w:rPr>
        <w:t>空气浴加热设备：应保证装置能够容纳</w:t>
      </w:r>
      <w:r>
        <w:rPr>
          <w:rFonts w:ascii="Times New Roman"/>
        </w:rPr>
        <w:t>125 mL</w:t>
      </w:r>
      <w:r>
        <w:rPr>
          <w:rFonts w:ascii="Times New Roman"/>
        </w:rPr>
        <w:t>的</w:t>
      </w:r>
      <w:r>
        <w:rPr>
          <w:rFonts w:ascii="Times New Roman"/>
        </w:rPr>
        <w:t>HDPE</w:t>
      </w:r>
      <w:r>
        <w:rPr>
          <w:rFonts w:ascii="Times New Roman"/>
        </w:rPr>
        <w:t>瓶，使温度保持在</w:t>
      </w:r>
      <w:r>
        <w:rPr>
          <w:rFonts w:ascii="Times New Roman"/>
        </w:rPr>
        <w:t>37±2 ℃</w:t>
      </w:r>
      <w:r>
        <w:rPr>
          <w:rFonts w:ascii="Times New Roman"/>
        </w:rPr>
        <w:t>，并对温度进行监测和记录。驱动电机转速能够达到</w:t>
      </w:r>
      <w:r>
        <w:rPr>
          <w:rFonts w:ascii="Times New Roman"/>
        </w:rPr>
        <w:t>30 ± 2 rpm</w:t>
      </w:r>
      <w:r>
        <w:rPr>
          <w:rFonts w:ascii="Times New Roman"/>
        </w:rPr>
        <w:t>。</w:t>
      </w:r>
    </w:p>
    <w:p w14:paraId="37C0BF71" w14:textId="77777777" w:rsidR="00BA1C4E" w:rsidRDefault="008E428B">
      <w:pPr>
        <w:pStyle w:val="aff4"/>
        <w:rPr>
          <w:rFonts w:ascii="Times New Roman"/>
        </w:rPr>
      </w:pPr>
      <w:r>
        <w:rPr>
          <w:rFonts w:ascii="Times New Roman"/>
        </w:rPr>
        <w:t>(3)</w:t>
      </w:r>
      <w:r>
        <w:rPr>
          <w:rFonts w:ascii="Times New Roman"/>
        </w:rPr>
        <w:tab/>
      </w:r>
      <w:r>
        <w:rPr>
          <w:rFonts w:ascii="Times New Roman"/>
        </w:rPr>
        <w:t>广口高密度聚乙烯瓶（</w:t>
      </w:r>
      <w:r>
        <w:rPr>
          <w:rFonts w:ascii="Times New Roman"/>
        </w:rPr>
        <w:t>HDPE</w:t>
      </w:r>
      <w:r>
        <w:rPr>
          <w:rFonts w:ascii="Times New Roman"/>
        </w:rPr>
        <w:t>）：容积为</w:t>
      </w:r>
      <w:r>
        <w:rPr>
          <w:rFonts w:ascii="Times New Roman"/>
        </w:rPr>
        <w:t>125  mL</w:t>
      </w:r>
      <w:r>
        <w:rPr>
          <w:rFonts w:ascii="Times New Roman"/>
        </w:rPr>
        <w:t>，配有密闭的螺旋盖可进行密封。使用时应保证瓶子密封不漏水，在萃取过程中尽量避免瓶子污染。</w:t>
      </w:r>
    </w:p>
    <w:p w14:paraId="787D316E" w14:textId="77777777" w:rsidR="00BA1C4E" w:rsidRDefault="008E428B">
      <w:pPr>
        <w:pStyle w:val="aff4"/>
        <w:rPr>
          <w:rFonts w:ascii="Times New Roman"/>
        </w:rPr>
      </w:pPr>
      <w:r>
        <w:rPr>
          <w:rFonts w:ascii="Times New Roman"/>
        </w:rPr>
        <w:t>(4)</w:t>
      </w:r>
      <w:r>
        <w:rPr>
          <w:rFonts w:ascii="Times New Roman"/>
        </w:rPr>
        <w:t>自动温度补偿（</w:t>
      </w:r>
      <w:r>
        <w:rPr>
          <w:rFonts w:ascii="Times New Roman"/>
        </w:rPr>
        <w:t>ATC</w:t>
      </w:r>
      <w:r>
        <w:rPr>
          <w:rFonts w:ascii="Times New Roman"/>
        </w:rPr>
        <w:t>）</w:t>
      </w:r>
      <w:r>
        <w:rPr>
          <w:rFonts w:ascii="Times New Roman"/>
        </w:rPr>
        <w:t>pH</w:t>
      </w:r>
      <w:r>
        <w:rPr>
          <w:rFonts w:ascii="Times New Roman"/>
        </w:rPr>
        <w:t>电极：测量实验前后萃取液的</w:t>
      </w:r>
      <w:r>
        <w:rPr>
          <w:rFonts w:ascii="Times New Roman"/>
        </w:rPr>
        <w:t>pH</w:t>
      </w:r>
      <w:r>
        <w:rPr>
          <w:rFonts w:ascii="Times New Roman"/>
        </w:rPr>
        <w:t>值。</w:t>
      </w:r>
    </w:p>
    <w:p w14:paraId="75DE51ED" w14:textId="77777777" w:rsidR="00BA1C4E" w:rsidRPr="00644A7D" w:rsidRDefault="008E428B">
      <w:pPr>
        <w:pStyle w:val="aff4"/>
        <w:ind w:firstLineChars="0" w:firstLine="0"/>
        <w:rPr>
          <w:rFonts w:ascii="黑体" w:eastAsia="黑体" w:hAnsi="黑体"/>
        </w:rPr>
      </w:pPr>
      <w:r w:rsidRPr="00644A7D">
        <w:rPr>
          <w:rFonts w:ascii="黑体" w:eastAsia="黑体" w:hAnsi="黑体"/>
        </w:rPr>
        <w:t>B1.5 土壤样品的制备和保存</w:t>
      </w:r>
    </w:p>
    <w:p w14:paraId="6CF9F2CC" w14:textId="77777777" w:rsidR="00BA1C4E" w:rsidRDefault="008E428B">
      <w:pPr>
        <w:pStyle w:val="aff4"/>
        <w:rPr>
          <w:rFonts w:ascii="Times New Roman"/>
        </w:rPr>
      </w:pPr>
      <w:r>
        <w:rPr>
          <w:rFonts w:ascii="Times New Roman"/>
        </w:rPr>
        <w:t>土壤样品应在低于</w:t>
      </w:r>
      <w:r>
        <w:rPr>
          <w:rFonts w:ascii="Times New Roman"/>
        </w:rPr>
        <w:t>40℃</w:t>
      </w:r>
      <w:r>
        <w:rPr>
          <w:rFonts w:ascii="Times New Roman"/>
        </w:rPr>
        <w:t>条件下进行干燥，干燥后的土壤使用不锈钢筛子过筛至粒径</w:t>
      </w:r>
      <w:r>
        <w:rPr>
          <w:rFonts w:ascii="Times New Roman"/>
        </w:rPr>
        <w:t xml:space="preserve">150 </w:t>
      </w:r>
      <w:proofErr w:type="spellStart"/>
      <w:r>
        <w:rPr>
          <w:rFonts w:ascii="Times New Roman"/>
        </w:rPr>
        <w:t>μm</w:t>
      </w:r>
      <w:proofErr w:type="spellEnd"/>
      <w:r>
        <w:rPr>
          <w:rFonts w:ascii="Times New Roman"/>
        </w:rPr>
        <w:t>以下（代表能够黏附在儿童手上的粒径水平）。样品保存推荐使用干净的</w:t>
      </w:r>
      <w:r>
        <w:rPr>
          <w:rFonts w:ascii="Times New Roman"/>
        </w:rPr>
        <w:t>HDPE</w:t>
      </w:r>
      <w:r>
        <w:rPr>
          <w:rFonts w:ascii="Times New Roman"/>
        </w:rPr>
        <w:t>储瓶，样品使用前应充分混匀，制备好的样品可在不添加防腐剂或其他特殊条件下贮存</w:t>
      </w:r>
      <w:r>
        <w:rPr>
          <w:rFonts w:ascii="Times New Roman"/>
        </w:rPr>
        <w:t>6</w:t>
      </w:r>
      <w:r>
        <w:rPr>
          <w:rFonts w:ascii="Times New Roman"/>
        </w:rPr>
        <w:t>个月。在使用称量时应精确到</w:t>
      </w:r>
      <w:r>
        <w:rPr>
          <w:rFonts w:ascii="Times New Roman"/>
        </w:rPr>
        <w:t>0.0001 g</w:t>
      </w:r>
      <w:r>
        <w:rPr>
          <w:rFonts w:ascii="Times New Roman"/>
        </w:rPr>
        <w:t>。</w:t>
      </w:r>
    </w:p>
    <w:p w14:paraId="4BE46622" w14:textId="77777777" w:rsidR="00BA1C4E" w:rsidRPr="00644A7D" w:rsidRDefault="008E428B">
      <w:pPr>
        <w:pStyle w:val="aff4"/>
        <w:ind w:firstLineChars="0" w:firstLine="0"/>
        <w:rPr>
          <w:rFonts w:ascii="黑体" w:eastAsia="黑体" w:hAnsi="黑体"/>
        </w:rPr>
      </w:pPr>
      <w:r w:rsidRPr="00644A7D">
        <w:rPr>
          <w:rFonts w:ascii="黑体" w:eastAsia="黑体" w:hAnsi="黑体"/>
        </w:rPr>
        <w:t>B1.6 测试步骤</w:t>
      </w:r>
    </w:p>
    <w:p w14:paraId="142F0118" w14:textId="77777777" w:rsidR="00BA1C4E" w:rsidRDefault="008E428B">
      <w:pPr>
        <w:pStyle w:val="aff4"/>
        <w:rPr>
          <w:rFonts w:ascii="Times New Roman"/>
        </w:rPr>
      </w:pPr>
      <w:r>
        <w:rPr>
          <w:rFonts w:ascii="Times New Roman"/>
        </w:rPr>
        <w:t>(1)</w:t>
      </w:r>
      <w:r>
        <w:rPr>
          <w:rFonts w:ascii="Times New Roman"/>
        </w:rPr>
        <w:tab/>
      </w:r>
      <w:r>
        <w:rPr>
          <w:rFonts w:ascii="Times New Roman"/>
        </w:rPr>
        <w:t>该方法所用的萃取液为</w:t>
      </w:r>
      <w:r>
        <w:rPr>
          <w:rFonts w:ascii="Times New Roman"/>
        </w:rPr>
        <w:t>0.4 M</w:t>
      </w:r>
      <w:r>
        <w:rPr>
          <w:rFonts w:ascii="Times New Roman"/>
        </w:rPr>
        <w:t>甘氨酸溶液，使用前应在</w:t>
      </w:r>
      <w:r>
        <w:rPr>
          <w:rFonts w:ascii="Times New Roman"/>
        </w:rPr>
        <w:t xml:space="preserve">37±2°C </w:t>
      </w:r>
      <w:r>
        <w:rPr>
          <w:rFonts w:ascii="Times New Roman"/>
        </w:rPr>
        <w:t>下用痕量金属级浓盐酸调节</w:t>
      </w:r>
    </w:p>
    <w:p w14:paraId="6A49A7EB" w14:textId="77777777" w:rsidR="00BA1C4E" w:rsidRDefault="008E428B">
      <w:pPr>
        <w:pStyle w:val="aff4"/>
        <w:rPr>
          <w:rFonts w:ascii="Times New Roman"/>
        </w:rPr>
      </w:pPr>
      <w:r>
        <w:rPr>
          <w:rFonts w:ascii="Times New Roman"/>
        </w:rPr>
        <w:t>pH</w:t>
      </w:r>
      <w:r>
        <w:rPr>
          <w:rFonts w:ascii="Times New Roman"/>
        </w:rPr>
        <w:t>值为</w:t>
      </w:r>
      <w:r>
        <w:rPr>
          <w:rFonts w:ascii="Times New Roman"/>
        </w:rPr>
        <w:t xml:space="preserve">1.50 ± 0.05 </w:t>
      </w:r>
      <w:r>
        <w:rPr>
          <w:rFonts w:ascii="Times New Roman"/>
        </w:rPr>
        <w:t>。萃取液具体制备过程见</w:t>
      </w:r>
      <w:r>
        <w:rPr>
          <w:rFonts w:ascii="Times New Roman"/>
        </w:rPr>
        <w:t>B.1.3</w:t>
      </w:r>
      <w:r>
        <w:rPr>
          <w:rFonts w:ascii="Times New Roman"/>
        </w:rPr>
        <w:t>。</w:t>
      </w:r>
    </w:p>
    <w:p w14:paraId="26BBD709" w14:textId="77777777" w:rsidR="00BA1C4E" w:rsidRDefault="008E428B">
      <w:pPr>
        <w:pStyle w:val="aff4"/>
        <w:rPr>
          <w:rFonts w:ascii="Times New Roman"/>
        </w:rPr>
      </w:pPr>
      <w:r>
        <w:rPr>
          <w:rFonts w:ascii="Times New Roman"/>
        </w:rPr>
        <w:t>(2)</w:t>
      </w:r>
      <w:r>
        <w:rPr>
          <w:rFonts w:ascii="Times New Roman"/>
        </w:rPr>
        <w:tab/>
      </w:r>
      <w:r>
        <w:rPr>
          <w:rFonts w:ascii="Times New Roman"/>
        </w:rPr>
        <w:t>通过水浴或空气浴方式将萃取器预热到</w:t>
      </w:r>
      <w:r>
        <w:rPr>
          <w:rFonts w:ascii="Times New Roman"/>
        </w:rPr>
        <w:t xml:space="preserve">37°C </w:t>
      </w:r>
      <w:r>
        <w:rPr>
          <w:rFonts w:ascii="Times New Roman"/>
        </w:rPr>
        <w:t>，并记录每批次萃取起始和结束时间和温度。</w:t>
      </w:r>
    </w:p>
    <w:p w14:paraId="0F3546FE" w14:textId="77777777" w:rsidR="00BA1C4E" w:rsidRDefault="008E428B">
      <w:pPr>
        <w:pStyle w:val="aff4"/>
        <w:rPr>
          <w:rFonts w:ascii="Times New Roman"/>
        </w:rPr>
      </w:pPr>
      <w:r>
        <w:rPr>
          <w:rFonts w:ascii="Times New Roman"/>
        </w:rPr>
        <w:t>(3)</w:t>
      </w:r>
      <w:r>
        <w:rPr>
          <w:rFonts w:ascii="Times New Roman"/>
        </w:rPr>
        <w:tab/>
      </w:r>
      <w:r>
        <w:rPr>
          <w:rFonts w:ascii="Times New Roman"/>
        </w:rPr>
        <w:t>土壤样品充分混匀后立即等分转移到萃取器中进行萃取，以确保样品的均匀性（即</w:t>
      </w:r>
      <w:r>
        <w:rPr>
          <w:rFonts w:ascii="Times New Roman"/>
        </w:rPr>
        <w:t>X</w:t>
      </w:r>
      <w:r>
        <w:rPr>
          <w:rFonts w:ascii="Times New Roman"/>
        </w:rPr>
        <w:t>、</w:t>
      </w:r>
    </w:p>
    <w:p w14:paraId="09F14622" w14:textId="77777777" w:rsidR="00BA1C4E" w:rsidRDefault="008E428B">
      <w:pPr>
        <w:pStyle w:val="aff4"/>
        <w:rPr>
          <w:rFonts w:ascii="Times New Roman"/>
        </w:rPr>
      </w:pPr>
      <w:r>
        <w:rPr>
          <w:rFonts w:ascii="Times New Roman"/>
        </w:rPr>
        <w:t>Y</w:t>
      </w:r>
      <w:r>
        <w:rPr>
          <w:rFonts w:ascii="Times New Roman"/>
        </w:rPr>
        <w:t>、</w:t>
      </w:r>
      <w:r>
        <w:rPr>
          <w:rFonts w:ascii="Times New Roman"/>
        </w:rPr>
        <w:t>Z</w:t>
      </w:r>
      <w:r>
        <w:rPr>
          <w:rFonts w:ascii="Times New Roman"/>
        </w:rPr>
        <w:t>方向旋转样品瓶）。</w:t>
      </w:r>
    </w:p>
    <w:p w14:paraId="081C4140" w14:textId="77777777" w:rsidR="00BA1C4E" w:rsidRDefault="008E428B">
      <w:pPr>
        <w:pStyle w:val="aff4"/>
        <w:rPr>
          <w:rFonts w:ascii="Times New Roman"/>
        </w:rPr>
      </w:pPr>
      <w:r>
        <w:rPr>
          <w:rFonts w:ascii="Times New Roman"/>
        </w:rPr>
        <w:t>(4)</w:t>
      </w:r>
      <w:r>
        <w:rPr>
          <w:rFonts w:ascii="Times New Roman"/>
        </w:rPr>
        <w:tab/>
      </w:r>
      <w:r>
        <w:rPr>
          <w:rFonts w:ascii="Times New Roman"/>
        </w:rPr>
        <w:t>在进行萃取时，首先将</w:t>
      </w:r>
      <w:r>
        <w:rPr>
          <w:rFonts w:ascii="Times New Roman"/>
        </w:rPr>
        <w:t>1.000 g</w:t>
      </w:r>
      <w:r>
        <w:rPr>
          <w:rFonts w:ascii="Times New Roman"/>
        </w:rPr>
        <w:t>干燥过筛后的土壤样品</w:t>
      </w:r>
      <w:r>
        <w:rPr>
          <w:rFonts w:ascii="Times New Roman"/>
        </w:rPr>
        <w:t xml:space="preserve"> </w:t>
      </w:r>
      <w:r>
        <w:rPr>
          <w:rFonts w:ascii="Times New Roman"/>
        </w:rPr>
        <w:t>（粒径</w:t>
      </w:r>
      <w:r>
        <w:rPr>
          <w:rFonts w:ascii="Times New Roman"/>
        </w:rPr>
        <w:t xml:space="preserve">&lt;150 </w:t>
      </w:r>
      <w:proofErr w:type="spellStart"/>
      <w:r>
        <w:rPr>
          <w:rFonts w:ascii="Times New Roman"/>
        </w:rPr>
        <w:t>μm</w:t>
      </w:r>
      <w:proofErr w:type="spellEnd"/>
      <w:r>
        <w:rPr>
          <w:rFonts w:ascii="Times New Roman"/>
        </w:rPr>
        <w:t>）放入</w:t>
      </w:r>
      <w:r>
        <w:rPr>
          <w:rFonts w:ascii="Times New Roman"/>
        </w:rPr>
        <w:t>125 mL</w:t>
      </w:r>
      <w:r>
        <w:rPr>
          <w:rFonts w:ascii="Times New Roman"/>
        </w:rPr>
        <w:t>广口高密度聚乙烯瓶中，记录所称量的土壤质量（精确到</w:t>
      </w:r>
      <w:r>
        <w:rPr>
          <w:rFonts w:ascii="Times New Roman"/>
        </w:rPr>
        <w:t>0.001g</w:t>
      </w:r>
      <w:r>
        <w:rPr>
          <w:rFonts w:ascii="Times New Roman"/>
        </w:rPr>
        <w:t>）。同时应注意确保瓶口的静电不会使土壤颗粒附着在瓶口或外螺纹上。</w:t>
      </w:r>
    </w:p>
    <w:p w14:paraId="3EFFDEE2" w14:textId="77777777" w:rsidR="00BA1C4E" w:rsidRDefault="008E428B">
      <w:pPr>
        <w:pStyle w:val="aff4"/>
        <w:rPr>
          <w:rFonts w:ascii="Times New Roman"/>
        </w:rPr>
      </w:pPr>
      <w:r>
        <w:rPr>
          <w:rFonts w:ascii="Times New Roman"/>
        </w:rPr>
        <w:t>(5)</w:t>
      </w:r>
      <w:r>
        <w:rPr>
          <w:rFonts w:ascii="Times New Roman"/>
        </w:rPr>
        <w:tab/>
      </w:r>
      <w:r>
        <w:rPr>
          <w:rFonts w:ascii="Times New Roman"/>
        </w:rPr>
        <w:t>准确量取</w:t>
      </w:r>
      <w:r>
        <w:rPr>
          <w:rFonts w:ascii="Times New Roman"/>
        </w:rPr>
        <w:t>100 ± 0.5 mL</w:t>
      </w:r>
      <w:r>
        <w:rPr>
          <w:rFonts w:ascii="Times New Roman"/>
        </w:rPr>
        <w:t>的</w:t>
      </w:r>
      <w:r>
        <w:rPr>
          <w:rFonts w:ascii="Times New Roman"/>
        </w:rPr>
        <w:t>0.4 M</w:t>
      </w:r>
      <w:r>
        <w:rPr>
          <w:rFonts w:ascii="Times New Roman"/>
        </w:rPr>
        <w:t>甘氨酸萃取液（</w:t>
      </w:r>
      <w:r>
        <w:rPr>
          <w:rFonts w:ascii="Times New Roman"/>
        </w:rPr>
        <w:t>pH =1.5</w:t>
      </w:r>
      <w:r>
        <w:rPr>
          <w:rFonts w:ascii="Times New Roman"/>
        </w:rPr>
        <w:t>）转移到</w:t>
      </w:r>
      <w:r>
        <w:rPr>
          <w:rFonts w:ascii="Times New Roman"/>
        </w:rPr>
        <w:t>125 mL</w:t>
      </w:r>
      <w:r>
        <w:rPr>
          <w:rFonts w:ascii="Times New Roman"/>
        </w:rPr>
        <w:t>广口高密度聚乙烯瓶中，将瓶盖拧紧密封，然后摇晃或倒置确保无渗漏，瓶底无块状固体样品。</w:t>
      </w:r>
    </w:p>
    <w:p w14:paraId="79166B80" w14:textId="77777777" w:rsidR="00BA1C4E" w:rsidRDefault="008E428B">
      <w:pPr>
        <w:pStyle w:val="aff4"/>
        <w:rPr>
          <w:rFonts w:ascii="Times New Roman"/>
        </w:rPr>
      </w:pPr>
      <w:r>
        <w:rPr>
          <w:rFonts w:ascii="Times New Roman"/>
        </w:rPr>
        <w:lastRenderedPageBreak/>
        <w:t>(6)</w:t>
      </w:r>
      <w:r>
        <w:rPr>
          <w:rFonts w:ascii="Times New Roman"/>
        </w:rPr>
        <w:tab/>
      </w:r>
      <w:r>
        <w:rPr>
          <w:rFonts w:ascii="Times New Roman"/>
        </w:rPr>
        <w:t>将装有测试材料或质控样品的</w:t>
      </w:r>
      <w:r>
        <w:rPr>
          <w:rFonts w:ascii="Times New Roman"/>
        </w:rPr>
        <w:t>125 mL HPDE</w:t>
      </w:r>
      <w:r>
        <w:rPr>
          <w:rFonts w:ascii="Times New Roman"/>
        </w:rPr>
        <w:t>瓶放入已经预热好的加热装置中，进行加热萃取。记录旋转开始时间，样品在</w:t>
      </w:r>
      <w:r>
        <w:rPr>
          <w:rFonts w:ascii="Times New Roman"/>
        </w:rPr>
        <w:t>30 ± 2 rpm</w:t>
      </w:r>
      <w:r>
        <w:rPr>
          <w:rFonts w:ascii="Times New Roman"/>
        </w:rPr>
        <w:t>条件下旋转萃取</w:t>
      </w:r>
      <w:r>
        <w:rPr>
          <w:rFonts w:ascii="Times New Roman"/>
        </w:rPr>
        <w:t>1 h</w:t>
      </w:r>
      <w:r>
        <w:rPr>
          <w:rFonts w:ascii="Times New Roman"/>
        </w:rPr>
        <w:t>。</w:t>
      </w:r>
    </w:p>
    <w:p w14:paraId="6C2700D0" w14:textId="77777777" w:rsidR="00BA1C4E" w:rsidRDefault="008E428B">
      <w:pPr>
        <w:pStyle w:val="aff4"/>
        <w:rPr>
          <w:rFonts w:ascii="Times New Roman"/>
        </w:rPr>
      </w:pPr>
      <w:r>
        <w:rPr>
          <w:rFonts w:ascii="Times New Roman"/>
        </w:rPr>
        <w:t>注意：应注意防止样品在旋转过程中受到污染（如防止瓶盖周围螺纹中残留的水浴水进入样品中）。实验室推荐但不限于考虑以下预防措施：使用的瓶子类型，在安装水浴萃取器之前将样品密封在塑料冷冻袋中，并将空气排出，或用胶带或</w:t>
      </w:r>
      <w:r>
        <w:rPr>
          <w:rFonts w:ascii="Times New Roman"/>
        </w:rPr>
        <w:t>Parafilm</w:t>
      </w:r>
      <w:r>
        <w:rPr>
          <w:rFonts w:ascii="Times New Roman"/>
        </w:rPr>
        <w:t>密封瓶子。</w:t>
      </w:r>
    </w:p>
    <w:p w14:paraId="2F571A62" w14:textId="77777777" w:rsidR="00BA1C4E" w:rsidRDefault="008E428B">
      <w:pPr>
        <w:pStyle w:val="aff4"/>
        <w:rPr>
          <w:rFonts w:ascii="Times New Roman"/>
        </w:rPr>
      </w:pPr>
      <w:r>
        <w:rPr>
          <w:rFonts w:ascii="Times New Roman"/>
        </w:rPr>
        <w:t>(7)</w:t>
      </w:r>
      <w:r>
        <w:rPr>
          <w:rFonts w:ascii="Times New Roman"/>
        </w:rPr>
        <w:tab/>
      </w:r>
      <w:r>
        <w:rPr>
          <w:rFonts w:ascii="Times New Roman"/>
        </w:rPr>
        <w:t>运行</w:t>
      </w:r>
      <w:r>
        <w:rPr>
          <w:rFonts w:ascii="Times New Roman"/>
        </w:rPr>
        <w:t>1 h</w:t>
      </w:r>
      <w:r>
        <w:rPr>
          <w:rFonts w:ascii="Times New Roman"/>
        </w:rPr>
        <w:t>后将样品瓶取出晾干，然后静置使反应液中的固体全部沉降。用一次性注射器从样品瓶中取出</w:t>
      </w:r>
      <w:r>
        <w:rPr>
          <w:rFonts w:ascii="Times New Roman"/>
        </w:rPr>
        <w:t>40mL</w:t>
      </w:r>
      <w:r>
        <w:rPr>
          <w:rFonts w:ascii="Times New Roman"/>
        </w:rPr>
        <w:t>上清液，在装有</w:t>
      </w:r>
      <w:r>
        <w:rPr>
          <w:rFonts w:ascii="Times New Roman"/>
        </w:rPr>
        <w:t xml:space="preserve">0.45 </w:t>
      </w:r>
      <w:proofErr w:type="spellStart"/>
      <w:r>
        <w:rPr>
          <w:rFonts w:ascii="Times New Roman"/>
        </w:rPr>
        <w:t>μm</w:t>
      </w:r>
      <w:proofErr w:type="spellEnd"/>
      <w:r>
        <w:rPr>
          <w:rFonts w:ascii="Times New Roman"/>
        </w:rPr>
        <w:t>醋酸纤维素圆盘过滤器（直径</w:t>
      </w:r>
      <w:r>
        <w:rPr>
          <w:rFonts w:ascii="Times New Roman"/>
        </w:rPr>
        <w:t>25 mm</w:t>
      </w:r>
      <w:r>
        <w:rPr>
          <w:rFonts w:ascii="Times New Roman"/>
        </w:rPr>
        <w:t>）的装置中进行过滤，从过滤后不含任何杂质的滤液中吸取</w:t>
      </w:r>
      <w:r>
        <w:rPr>
          <w:rFonts w:ascii="Times New Roman"/>
        </w:rPr>
        <w:t>15 mL</w:t>
      </w:r>
      <w:r>
        <w:rPr>
          <w:rFonts w:ascii="Times New Roman"/>
        </w:rPr>
        <w:t>液体，转移到经过酸洗的聚丙烯离心管或其他适当的样品瓶中进行分析。</w:t>
      </w:r>
    </w:p>
    <w:p w14:paraId="3B9BEDF4" w14:textId="77777777" w:rsidR="00BA1C4E" w:rsidRDefault="008E428B">
      <w:pPr>
        <w:pStyle w:val="aff4"/>
        <w:rPr>
          <w:rFonts w:ascii="Times New Roman"/>
        </w:rPr>
      </w:pPr>
      <w:r>
        <w:rPr>
          <w:rFonts w:ascii="Times New Roman"/>
        </w:rPr>
        <w:t>(8)</w:t>
      </w:r>
      <w:r>
        <w:rPr>
          <w:rFonts w:ascii="Times New Roman"/>
        </w:rPr>
        <w:tab/>
      </w:r>
      <w:r>
        <w:rPr>
          <w:rFonts w:ascii="Times New Roman"/>
        </w:rPr>
        <w:t>记录提取液过滤时间。如果提取和过滤总时间超过</w:t>
      </w:r>
      <w:r>
        <w:rPr>
          <w:rFonts w:ascii="Times New Roman"/>
        </w:rPr>
        <w:t>90</w:t>
      </w:r>
      <w:r>
        <w:rPr>
          <w:rFonts w:ascii="Times New Roman"/>
        </w:rPr>
        <w:t>分钟，则必须重新操作。</w:t>
      </w:r>
    </w:p>
    <w:p w14:paraId="68048700" w14:textId="77777777" w:rsidR="00BA1C4E" w:rsidRDefault="008E428B">
      <w:pPr>
        <w:pStyle w:val="aff4"/>
        <w:rPr>
          <w:rFonts w:ascii="Times New Roman"/>
        </w:rPr>
      </w:pPr>
      <w:r>
        <w:rPr>
          <w:rFonts w:ascii="Times New Roman"/>
        </w:rPr>
        <w:t>(9)</w:t>
      </w:r>
      <w:r>
        <w:rPr>
          <w:rFonts w:ascii="Times New Roman"/>
        </w:rPr>
        <w:tab/>
      </w:r>
      <w:r>
        <w:rPr>
          <w:rFonts w:ascii="Times New Roman"/>
        </w:rPr>
        <w:t>分析和记录样品瓶中剩余提取液的</w:t>
      </w:r>
      <w:r>
        <w:rPr>
          <w:rFonts w:ascii="Times New Roman"/>
        </w:rPr>
        <w:t>pH</w:t>
      </w:r>
      <w:r>
        <w:rPr>
          <w:rFonts w:ascii="Times New Roman"/>
        </w:rPr>
        <w:t>值，如超出起始</w:t>
      </w:r>
      <w:r>
        <w:rPr>
          <w:rFonts w:ascii="Times New Roman"/>
        </w:rPr>
        <w:t>pH</w:t>
      </w:r>
      <w:r>
        <w:rPr>
          <w:rFonts w:ascii="Times New Roman"/>
        </w:rPr>
        <w:t>值的</w:t>
      </w:r>
      <w:r>
        <w:rPr>
          <w:rFonts w:ascii="Times New Roman"/>
        </w:rPr>
        <w:t xml:space="preserve">± 0.5 </w:t>
      </w:r>
      <w:r>
        <w:rPr>
          <w:rFonts w:ascii="Times New Roman"/>
        </w:rPr>
        <w:t>单位，则需要重新进行实验，并对样品进行重新分析。在某些情况下（主要是矿渣或炉渣土），测试材料可能会提高萃取缓冲液的</w:t>
      </w:r>
      <w:r>
        <w:rPr>
          <w:rFonts w:ascii="Times New Roman"/>
        </w:rPr>
        <w:t>pH</w:t>
      </w:r>
      <w:r>
        <w:rPr>
          <w:rFonts w:ascii="Times New Roman"/>
        </w:rPr>
        <w:t>值，从而影响人体可给性的测定结果。为预防这种情况，应在抽取用于过滤和分析的</w:t>
      </w:r>
      <w:r>
        <w:rPr>
          <w:rFonts w:ascii="Times New Roman"/>
        </w:rPr>
        <w:t>40 mL</w:t>
      </w:r>
      <w:r>
        <w:rPr>
          <w:rFonts w:ascii="Times New Roman"/>
        </w:rPr>
        <w:t>上清液后测量剩余液体的</w:t>
      </w:r>
      <w:r>
        <w:rPr>
          <w:rFonts w:ascii="Times New Roman"/>
        </w:rPr>
        <w:t>pH</w:t>
      </w:r>
      <w:r>
        <w:rPr>
          <w:rFonts w:ascii="Times New Roman"/>
        </w:rPr>
        <w:t>值，如变化超出起始</w:t>
      </w:r>
      <w:r>
        <w:rPr>
          <w:rFonts w:ascii="Times New Roman"/>
        </w:rPr>
        <w:t>pH</w:t>
      </w:r>
      <w:r>
        <w:rPr>
          <w:rFonts w:ascii="Times New Roman"/>
        </w:rPr>
        <w:t>值（</w:t>
      </w:r>
      <w:r>
        <w:rPr>
          <w:rFonts w:ascii="Times New Roman"/>
        </w:rPr>
        <w:t>1.5</w:t>
      </w:r>
      <w:r>
        <w:rPr>
          <w:rFonts w:ascii="Times New Roman"/>
        </w:rPr>
        <w:t>）的</w:t>
      </w:r>
      <w:r>
        <w:rPr>
          <w:rFonts w:ascii="Times New Roman"/>
        </w:rPr>
        <w:t>0.5</w:t>
      </w:r>
      <w:r>
        <w:rPr>
          <w:rFonts w:ascii="Times New Roman"/>
        </w:rPr>
        <w:t>个</w:t>
      </w:r>
      <w:r>
        <w:rPr>
          <w:rFonts w:ascii="Times New Roman"/>
        </w:rPr>
        <w:t>pH</w:t>
      </w:r>
      <w:r>
        <w:rPr>
          <w:rFonts w:ascii="Times New Roman"/>
        </w:rPr>
        <w:t>单位，则需要重复测量，如第二次测量结果</w:t>
      </w:r>
      <w:r>
        <w:rPr>
          <w:rFonts w:ascii="Times New Roman"/>
        </w:rPr>
        <w:t>pH</w:t>
      </w:r>
      <w:r>
        <w:rPr>
          <w:rFonts w:ascii="Times New Roman"/>
        </w:rPr>
        <w:t>值变化仍大于</w:t>
      </w:r>
      <w:r>
        <w:rPr>
          <w:rFonts w:ascii="Times New Roman"/>
        </w:rPr>
        <w:t>0.5</w:t>
      </w:r>
      <w:r>
        <w:rPr>
          <w:rFonts w:ascii="Times New Roman"/>
        </w:rPr>
        <w:t>个单位，则可以合理地认为试验材料对提取液有缓冲作用。这些情况下，应在萃取过程中使用手动调节</w:t>
      </w:r>
      <w:r>
        <w:rPr>
          <w:rFonts w:ascii="Times New Roman"/>
        </w:rPr>
        <w:t>pH</w:t>
      </w:r>
      <w:r>
        <w:rPr>
          <w:rFonts w:ascii="Times New Roman"/>
        </w:rPr>
        <w:t>值的方法进行重复实验，分别在</w:t>
      </w:r>
      <w:r>
        <w:rPr>
          <w:rFonts w:ascii="Times New Roman"/>
        </w:rPr>
        <w:t>5</w:t>
      </w:r>
      <w:r>
        <w:rPr>
          <w:rFonts w:ascii="Times New Roman"/>
        </w:rPr>
        <w:t>、</w:t>
      </w:r>
      <w:r>
        <w:rPr>
          <w:rFonts w:ascii="Times New Roman"/>
        </w:rPr>
        <w:t>10</w:t>
      </w:r>
      <w:r>
        <w:rPr>
          <w:rFonts w:ascii="Times New Roman"/>
        </w:rPr>
        <w:t>、</w:t>
      </w:r>
      <w:r>
        <w:rPr>
          <w:rFonts w:ascii="Times New Roman"/>
        </w:rPr>
        <w:t>15</w:t>
      </w:r>
      <w:r>
        <w:rPr>
          <w:rFonts w:ascii="Times New Roman"/>
        </w:rPr>
        <w:t>和</w:t>
      </w:r>
      <w:r>
        <w:rPr>
          <w:rFonts w:ascii="Times New Roman"/>
        </w:rPr>
        <w:t>30</w:t>
      </w:r>
      <w:r>
        <w:rPr>
          <w:rFonts w:ascii="Times New Roman"/>
        </w:rPr>
        <w:t>分钟时停止萃取，并通过滴加</w:t>
      </w:r>
      <w:r>
        <w:rPr>
          <w:rFonts w:ascii="Times New Roman"/>
        </w:rPr>
        <w:t>HCl</w:t>
      </w:r>
      <w:r>
        <w:rPr>
          <w:rFonts w:ascii="Times New Roman"/>
        </w:rPr>
        <w:t>的方法手动调节</w:t>
      </w:r>
      <w:r>
        <w:rPr>
          <w:rFonts w:ascii="Times New Roman"/>
        </w:rPr>
        <w:t>pH</w:t>
      </w:r>
      <w:r>
        <w:rPr>
          <w:rFonts w:ascii="Times New Roman"/>
        </w:rPr>
        <w:t>值至</w:t>
      </w:r>
      <w:r>
        <w:rPr>
          <w:rFonts w:ascii="Times New Roman"/>
        </w:rPr>
        <w:t>1.5</w:t>
      </w:r>
      <w:r>
        <w:rPr>
          <w:rFonts w:ascii="Times New Roman"/>
        </w:rPr>
        <w:t>。</w:t>
      </w:r>
    </w:p>
    <w:p w14:paraId="10BBF148" w14:textId="77777777" w:rsidR="00BA1C4E" w:rsidRDefault="008E428B">
      <w:pPr>
        <w:pStyle w:val="aff4"/>
        <w:rPr>
          <w:rFonts w:ascii="Times New Roman"/>
        </w:rPr>
      </w:pPr>
      <w:r>
        <w:rPr>
          <w:rFonts w:ascii="Times New Roman"/>
        </w:rPr>
        <w:t>(10)</w:t>
      </w:r>
      <w:r>
        <w:rPr>
          <w:rFonts w:ascii="Times New Roman"/>
        </w:rPr>
        <w:t>在</w:t>
      </w:r>
      <w:r>
        <w:rPr>
          <w:rFonts w:ascii="Times New Roman"/>
        </w:rPr>
        <w:t xml:space="preserve">4 ± 2°C </w:t>
      </w:r>
      <w:r>
        <w:rPr>
          <w:rFonts w:ascii="Times New Roman"/>
        </w:rPr>
        <w:t>的冰箱中保存滤液待测。</w:t>
      </w:r>
    </w:p>
    <w:p w14:paraId="15240850" w14:textId="77777777" w:rsidR="00BA1C4E" w:rsidRPr="00644A7D" w:rsidRDefault="008E428B">
      <w:pPr>
        <w:pStyle w:val="aff4"/>
        <w:ind w:firstLineChars="0" w:firstLine="0"/>
        <w:rPr>
          <w:rFonts w:ascii="黑体" w:eastAsia="黑体" w:hAnsi="黑体"/>
        </w:rPr>
      </w:pPr>
      <w:r w:rsidRPr="00644A7D">
        <w:rPr>
          <w:rFonts w:ascii="黑体" w:eastAsia="黑体" w:hAnsi="黑体"/>
        </w:rPr>
        <w:t>B1.7样品测试及可给性计算</w:t>
      </w:r>
    </w:p>
    <w:p w14:paraId="225F9E89" w14:textId="77777777" w:rsidR="00BA1C4E" w:rsidRDefault="008E428B">
      <w:pPr>
        <w:pStyle w:val="aff4"/>
        <w:rPr>
          <w:rFonts w:ascii="Times New Roman"/>
        </w:rPr>
      </w:pPr>
      <w:r>
        <w:rPr>
          <w:rFonts w:ascii="Times New Roman"/>
        </w:rPr>
        <w:t>(1)</w:t>
      </w:r>
      <w:r>
        <w:rPr>
          <w:rFonts w:ascii="Times New Roman"/>
        </w:rPr>
        <w:tab/>
      </w:r>
      <w:r>
        <w:rPr>
          <w:rFonts w:ascii="Times New Roman"/>
        </w:rPr>
        <w:t>首选国家标准和规范中规定的检测方法对实验土样和萃取液中目标污染物浓度进行检测，国内没有标准分析方法的项目可参考国际标准方法。</w:t>
      </w:r>
    </w:p>
    <w:p w14:paraId="4951AD75" w14:textId="77777777" w:rsidR="00BA1C4E" w:rsidRDefault="008E428B">
      <w:pPr>
        <w:pStyle w:val="aff4"/>
        <w:rPr>
          <w:rFonts w:ascii="Times New Roman"/>
        </w:rPr>
      </w:pPr>
      <w:r>
        <w:rPr>
          <w:rFonts w:ascii="Times New Roman"/>
        </w:rPr>
        <w:t>滤液中铅、砷常用分析方法为</w:t>
      </w:r>
      <w:r>
        <w:rPr>
          <w:rFonts w:ascii="Times New Roman"/>
        </w:rPr>
        <w:t xml:space="preserve">ICP-AES </w:t>
      </w:r>
      <w:r>
        <w:rPr>
          <w:rFonts w:ascii="Times New Roman"/>
        </w:rPr>
        <w:t>（</w:t>
      </w:r>
      <w:r>
        <w:rPr>
          <w:rFonts w:ascii="Times New Roman"/>
        </w:rPr>
        <w:t xml:space="preserve"> </w:t>
      </w:r>
      <w:r>
        <w:rPr>
          <w:rFonts w:ascii="Times New Roman"/>
        </w:rPr>
        <w:t>可参考</w:t>
      </w:r>
      <w:r>
        <w:rPr>
          <w:rFonts w:ascii="Times New Roman"/>
        </w:rPr>
        <w:t xml:space="preserve">EPA 6010C </w:t>
      </w:r>
      <w:r>
        <w:rPr>
          <w:rFonts w:ascii="Times New Roman"/>
        </w:rPr>
        <w:t>）或</w:t>
      </w:r>
      <w:r>
        <w:rPr>
          <w:rFonts w:ascii="Times New Roman"/>
        </w:rPr>
        <w:t xml:space="preserve">ICP-MS </w:t>
      </w:r>
      <w:r>
        <w:rPr>
          <w:rFonts w:ascii="Times New Roman"/>
        </w:rPr>
        <w:t>（可参考</w:t>
      </w:r>
      <w:r>
        <w:rPr>
          <w:rFonts w:ascii="Times New Roman"/>
        </w:rPr>
        <w:t>EPA 6020A</w:t>
      </w:r>
      <w:r>
        <w:rPr>
          <w:rFonts w:ascii="Times New Roman"/>
        </w:rPr>
        <w:t>）。对铅来说，</w:t>
      </w:r>
      <w:r>
        <w:rPr>
          <w:rFonts w:ascii="Times New Roman"/>
        </w:rPr>
        <w:t>EPA 6010</w:t>
      </w:r>
      <w:r>
        <w:rPr>
          <w:rFonts w:ascii="Times New Roman"/>
        </w:rPr>
        <w:t>和</w:t>
      </w:r>
      <w:r>
        <w:rPr>
          <w:rFonts w:ascii="Times New Roman"/>
        </w:rPr>
        <w:t>EPA 6020 (U.S. EPA, 2012a, b)</w:t>
      </w:r>
      <w:r>
        <w:rPr>
          <w:rFonts w:ascii="Times New Roman"/>
        </w:rPr>
        <w:t>的方法检出限分别约为</w:t>
      </w:r>
      <w:r>
        <w:rPr>
          <w:rFonts w:ascii="Times New Roman"/>
        </w:rPr>
        <w:t xml:space="preserve">20 </w:t>
      </w:r>
      <w:proofErr w:type="spellStart"/>
      <w:r>
        <w:rPr>
          <w:rFonts w:ascii="Times New Roman"/>
        </w:rPr>
        <w:t>μg</w:t>
      </w:r>
      <w:proofErr w:type="spellEnd"/>
      <w:r>
        <w:rPr>
          <w:rFonts w:ascii="Times New Roman"/>
        </w:rPr>
        <w:t>/L</w:t>
      </w:r>
      <w:r>
        <w:rPr>
          <w:rFonts w:ascii="Times New Roman"/>
        </w:rPr>
        <w:t>和</w:t>
      </w:r>
      <w:r>
        <w:rPr>
          <w:rFonts w:ascii="Times New Roman"/>
        </w:rPr>
        <w:t xml:space="preserve">0.1-0.3 </w:t>
      </w:r>
      <w:proofErr w:type="spellStart"/>
      <w:r>
        <w:rPr>
          <w:rFonts w:ascii="Times New Roman"/>
        </w:rPr>
        <w:t>μg</w:t>
      </w:r>
      <w:proofErr w:type="spellEnd"/>
      <w:r>
        <w:rPr>
          <w:rFonts w:ascii="Times New Roman"/>
        </w:rPr>
        <w:t>/L</w:t>
      </w:r>
      <w:r>
        <w:rPr>
          <w:rFonts w:ascii="Times New Roman"/>
        </w:rPr>
        <w:t>；对砷而言，</w:t>
      </w:r>
      <w:r>
        <w:rPr>
          <w:rFonts w:ascii="Times New Roman"/>
        </w:rPr>
        <w:t>EPA 6010</w:t>
      </w:r>
      <w:r>
        <w:rPr>
          <w:rFonts w:ascii="Times New Roman"/>
        </w:rPr>
        <w:t>和</w:t>
      </w:r>
      <w:r>
        <w:rPr>
          <w:rFonts w:ascii="Times New Roman"/>
        </w:rPr>
        <w:t>EPA 6020</w:t>
      </w:r>
      <w:r>
        <w:rPr>
          <w:rFonts w:ascii="Times New Roman"/>
        </w:rPr>
        <w:t>的方法检出限分别约为</w:t>
      </w:r>
      <w:r>
        <w:rPr>
          <w:rFonts w:ascii="Times New Roman"/>
        </w:rPr>
        <w:t>20~40μg/L</w:t>
      </w:r>
      <w:r>
        <w:rPr>
          <w:rFonts w:ascii="Times New Roman"/>
        </w:rPr>
        <w:t>和</w:t>
      </w:r>
      <w:r>
        <w:rPr>
          <w:rFonts w:ascii="Times New Roman"/>
        </w:rPr>
        <w:t xml:space="preserve">1~5 </w:t>
      </w:r>
      <w:proofErr w:type="spellStart"/>
      <w:r>
        <w:rPr>
          <w:rFonts w:ascii="Times New Roman"/>
        </w:rPr>
        <w:t>μg</w:t>
      </w:r>
      <w:proofErr w:type="spellEnd"/>
      <w:r>
        <w:rPr>
          <w:rFonts w:ascii="Times New Roman"/>
        </w:rPr>
        <w:t>/L</w:t>
      </w:r>
      <w:r>
        <w:rPr>
          <w:rFonts w:ascii="Times New Roman"/>
        </w:rPr>
        <w:t>。</w:t>
      </w:r>
    </w:p>
    <w:p w14:paraId="5D784A7A" w14:textId="77777777" w:rsidR="00BA1C4E" w:rsidRDefault="008E428B">
      <w:pPr>
        <w:pStyle w:val="aff4"/>
        <w:rPr>
          <w:rFonts w:ascii="Times New Roman"/>
        </w:rPr>
      </w:pPr>
      <w:r>
        <w:rPr>
          <w:rFonts w:ascii="Times New Roman"/>
        </w:rPr>
        <w:t>注：在某些情况下，提取液中的高溶解固体（如氧化铁）可能会影响</w:t>
      </w:r>
      <w:r>
        <w:rPr>
          <w:rFonts w:ascii="Times New Roman"/>
        </w:rPr>
        <w:t>ICP-OES</w:t>
      </w:r>
      <w:r>
        <w:rPr>
          <w:rFonts w:ascii="Times New Roman"/>
        </w:rPr>
        <w:t>或</w:t>
      </w:r>
      <w:r>
        <w:rPr>
          <w:rFonts w:ascii="Times New Roman"/>
        </w:rPr>
        <w:t>ICP-MS</w:t>
      </w:r>
      <w:r>
        <w:rPr>
          <w:rFonts w:ascii="Times New Roman"/>
        </w:rPr>
        <w:t>雾化器性能。这种情况下，建议在分析前将待测液稀释</w:t>
      </w:r>
      <w:r>
        <w:rPr>
          <w:rFonts w:ascii="Times New Roman"/>
        </w:rPr>
        <w:t>10</w:t>
      </w:r>
      <w:r>
        <w:rPr>
          <w:rFonts w:ascii="Times New Roman"/>
        </w:rPr>
        <w:t>倍。由于待测液中含有大量的</w:t>
      </w:r>
      <w:r>
        <w:rPr>
          <w:rFonts w:ascii="Times New Roman"/>
        </w:rPr>
        <w:t>HCl</w:t>
      </w:r>
      <w:r>
        <w:rPr>
          <w:rFonts w:ascii="Times New Roman"/>
        </w:rPr>
        <w:t>，应避免使用石墨炉原子吸收分光光度法（</w:t>
      </w:r>
      <w:r>
        <w:rPr>
          <w:rFonts w:ascii="Times New Roman"/>
        </w:rPr>
        <w:t>GFAA</w:t>
      </w:r>
      <w:r>
        <w:rPr>
          <w:rFonts w:ascii="Times New Roman"/>
        </w:rPr>
        <w:t>）。</w:t>
      </w:r>
    </w:p>
    <w:p w14:paraId="6ACE1684" w14:textId="77777777" w:rsidR="00BA1C4E" w:rsidRDefault="008E428B">
      <w:pPr>
        <w:pStyle w:val="aff4"/>
        <w:rPr>
          <w:rFonts w:ascii="Times New Roman"/>
        </w:rPr>
      </w:pPr>
      <w:r>
        <w:rPr>
          <w:rFonts w:ascii="Times New Roman"/>
        </w:rPr>
        <w:t>(2)</w:t>
      </w:r>
      <w:r>
        <w:rPr>
          <w:rFonts w:ascii="Times New Roman"/>
        </w:rPr>
        <w:t>质量保证和质量控制</w:t>
      </w:r>
    </w:p>
    <w:p w14:paraId="7F42AAE1" w14:textId="77777777" w:rsidR="00BA1C4E" w:rsidRDefault="008E428B">
      <w:pPr>
        <w:pStyle w:val="aff4"/>
        <w:rPr>
          <w:rFonts w:ascii="Times New Roman"/>
        </w:rPr>
      </w:pPr>
      <w:r>
        <w:rPr>
          <w:rFonts w:ascii="Times New Roman"/>
        </w:rPr>
        <w:t>质控要求参考所采用分析方法的质控要求。</w:t>
      </w:r>
    </w:p>
    <w:p w14:paraId="3BA26D5A" w14:textId="77777777" w:rsidR="00BA1C4E" w:rsidRDefault="008E428B">
      <w:pPr>
        <w:pStyle w:val="aff4"/>
        <w:rPr>
          <w:rFonts w:ascii="Times New Roman"/>
        </w:rPr>
      </w:pPr>
      <w:r>
        <w:rPr>
          <w:rFonts w:ascii="Times New Roman"/>
        </w:rPr>
        <w:t>(3)</w:t>
      </w:r>
      <w:r>
        <w:rPr>
          <w:rFonts w:ascii="Times New Roman"/>
        </w:rPr>
        <w:t>测试样品中目标污染物的人体可给性采用公式（</w:t>
      </w:r>
      <w:r>
        <w:rPr>
          <w:rFonts w:ascii="Times New Roman"/>
        </w:rPr>
        <w:t>B.1</w:t>
      </w:r>
      <w:r>
        <w:rPr>
          <w:rFonts w:ascii="Times New Roman"/>
        </w:rPr>
        <w:t>）计算：</w:t>
      </w:r>
    </w:p>
    <w:p w14:paraId="6149FA06" w14:textId="77777777" w:rsidR="00BA1C4E" w:rsidRDefault="008E428B">
      <w:pPr>
        <w:pStyle w:val="aff4"/>
        <w:rPr>
          <w:rFonts w:ascii="Times New Roman"/>
        </w:rPr>
      </w:pPr>
      <w:r>
        <w:rPr>
          <w:rFonts w:ascii="Times New Roman" w:hint="eastAsia"/>
        </w:rPr>
        <w:t xml:space="preserve">                       </w:t>
      </w:r>
      <m:oMath>
        <m:r>
          <w:rPr>
            <w:rFonts w:ascii="Cambria Math" w:eastAsia="Cambria Math" w:hAnsi="Cambria Math" w:cs="Cambria Math"/>
          </w:rPr>
          <m:t xml:space="preserve"> IVBA</m:t>
        </m:r>
        <m:r>
          <m:rPr>
            <m:sty m:val="p"/>
          </m:rPr>
          <w:rPr>
            <w:rFonts w:ascii="Cambria Math" w:eastAsia="Cambria Math" w:hAnsi="Cambria Math" w:cs="Cambria Math"/>
          </w:rPr>
          <m:t>=</m:t>
        </m:r>
        <m:f>
          <m:fPr>
            <m:ctrlPr>
              <w:rPr>
                <w:rFonts w:ascii="Cambria Math" w:eastAsia="Cambria Math" w:hAnsi="Cambria Math"/>
              </w:rPr>
            </m:ctrlPr>
          </m:fPr>
          <m:num>
            <m:sSub>
              <m:sSubPr>
                <m:ctrlPr>
                  <w:rPr>
                    <w:rFonts w:ascii="Cambria Math" w:eastAsia="Cambria Math" w:hAnsi="Cambria Math" w:cs="Cambria Math"/>
                  </w:rPr>
                </m:ctrlPr>
              </m:sSubPr>
              <m:e>
                <m:r>
                  <w:rPr>
                    <w:rFonts w:ascii="Cambria Math" w:eastAsia="Cambria Math" w:hAnsi="Cambria Math" w:cs="Cambria Math"/>
                  </w:rPr>
                  <m:t>C</m:t>
                </m:r>
              </m:e>
              <m:sub>
                <m:r>
                  <w:rPr>
                    <w:rFonts w:ascii="Cambria Math" w:eastAsia="Cambria Math" w:hAnsi="Cambria Math" w:cs="Cambria Math"/>
                  </w:rPr>
                  <m:t>ext</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V</m:t>
                </m:r>
              </m:e>
              <m:sub>
                <m:r>
                  <w:rPr>
                    <w:rFonts w:ascii="Cambria Math" w:eastAsia="Cambria Math" w:hAnsi="Cambria Math" w:cs="Cambria Math"/>
                  </w:rPr>
                  <m:t>ext</m:t>
                </m:r>
              </m:sub>
            </m:sSub>
            <m:r>
              <w:rPr>
                <w:rFonts w:ascii="Cambria Math" w:eastAsia="Cambria Math" w:hAnsi="Cambria Math" w:cs="Cambria Math"/>
              </w:rPr>
              <m:t>×100</m:t>
            </m:r>
          </m:num>
          <m:den>
            <m:sSub>
              <m:sSubPr>
                <m:ctrlPr>
                  <w:rPr>
                    <w:rFonts w:ascii="Cambria Math" w:eastAsia="Cambria Math" w:hAnsi="Cambria Math" w:cs="Cambria Math"/>
                  </w:rPr>
                </m:ctrlPr>
              </m:sSubPr>
              <m:e>
                <m:r>
                  <w:rPr>
                    <w:rFonts w:ascii="Cambria Math" w:eastAsia="Cambria Math" w:hAnsi="Cambria Math" w:cs="Cambria Math"/>
                  </w:rPr>
                  <m:t>Soil</m:t>
                </m:r>
              </m:e>
              <m:sub>
                <m:r>
                  <w:rPr>
                    <w:rFonts w:ascii="Cambria Math" w:eastAsia="Cambria Math" w:hAnsi="Cambria Math" w:cs="Cambria Math"/>
                  </w:rPr>
                  <m:t>conc</m:t>
                </m:r>
              </m:sub>
            </m:sSub>
            <m:r>
              <m:rPr>
                <m:sty m:val="p"/>
              </m:rP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Soil</m:t>
                </m:r>
              </m:e>
              <m:sub>
                <m:r>
                  <w:rPr>
                    <w:rFonts w:ascii="Cambria Math" w:eastAsia="Cambria Math" w:hAnsi="Cambria Math" w:cs="Cambria Math"/>
                  </w:rPr>
                  <m:t>mass</m:t>
                </m:r>
              </m:sub>
            </m:sSub>
          </m:den>
        </m:f>
      </m:oMath>
      <w:r>
        <w:rPr>
          <w:rFonts w:ascii="Times New Roman" w:hint="eastAsia"/>
        </w:rPr>
        <w:t xml:space="preserve">                                 </w:t>
      </w:r>
      <w:r>
        <w:rPr>
          <w:rFonts w:ascii="Times New Roman"/>
        </w:rPr>
        <w:t>B.1</w:t>
      </w:r>
    </w:p>
    <w:p w14:paraId="18876E06" w14:textId="77777777" w:rsidR="00BA1C4E" w:rsidRDefault="008E428B">
      <w:pPr>
        <w:pStyle w:val="aff4"/>
        <w:rPr>
          <w:rFonts w:ascii="Times New Roman"/>
        </w:rPr>
      </w:pPr>
      <w:r>
        <w:rPr>
          <w:rFonts w:ascii="Times New Roman" w:hint="eastAsia"/>
        </w:rPr>
        <w:t>式中：</w:t>
      </w:r>
    </w:p>
    <w:p w14:paraId="1E949727" w14:textId="77777777" w:rsidR="00BA1C4E" w:rsidRDefault="008E428B">
      <w:pPr>
        <w:pStyle w:val="aff4"/>
        <w:rPr>
          <w:rFonts w:ascii="Times New Roman"/>
        </w:rPr>
      </w:pPr>
      <w:r>
        <w:rPr>
          <w:rFonts w:ascii="Times New Roman" w:hint="eastAsia"/>
        </w:rPr>
        <w:t xml:space="preserve">IVBA </w:t>
      </w:r>
      <w:r>
        <w:rPr>
          <w:rFonts w:ascii="Times New Roman" w:hint="eastAsia"/>
        </w:rPr>
        <w:t>—</w:t>
      </w:r>
      <w:r>
        <w:rPr>
          <w:rFonts w:ascii="Times New Roman" w:hint="eastAsia"/>
        </w:rPr>
        <w:t xml:space="preserve"> </w:t>
      </w:r>
      <w:r>
        <w:rPr>
          <w:rFonts w:ascii="Times New Roman" w:hint="eastAsia"/>
        </w:rPr>
        <w:t>土壤样品中目标污染物的人体可给性，</w:t>
      </w:r>
      <w:r>
        <w:rPr>
          <w:rFonts w:ascii="Times New Roman" w:hint="eastAsia"/>
        </w:rPr>
        <w:t>%</w:t>
      </w:r>
      <w:r>
        <w:rPr>
          <w:rFonts w:ascii="Times New Roman" w:hint="eastAsia"/>
        </w:rPr>
        <w:t>；</w:t>
      </w:r>
    </w:p>
    <w:p w14:paraId="457764C5" w14:textId="77777777" w:rsidR="00BA1C4E" w:rsidRDefault="008E428B">
      <w:pPr>
        <w:pStyle w:val="aff4"/>
        <w:rPr>
          <w:rFonts w:ascii="Times New Roman"/>
        </w:rPr>
      </w:pPr>
      <w:proofErr w:type="spellStart"/>
      <w:r>
        <w:rPr>
          <w:rFonts w:ascii="Times New Roman" w:hint="eastAsia"/>
        </w:rPr>
        <w:t>C</w:t>
      </w:r>
      <w:r w:rsidRPr="001D0FD5">
        <w:rPr>
          <w:rFonts w:ascii="Times New Roman" w:hint="eastAsia"/>
          <w:vertAlign w:val="subscript"/>
        </w:rPr>
        <w:t>ext</w:t>
      </w:r>
      <w:proofErr w:type="spellEnd"/>
      <w:r>
        <w:rPr>
          <w:rFonts w:ascii="Times New Roman" w:hint="eastAsia"/>
        </w:rPr>
        <w:t xml:space="preserve"> </w:t>
      </w:r>
      <w:r>
        <w:rPr>
          <w:rFonts w:ascii="Times New Roman" w:hint="eastAsia"/>
        </w:rPr>
        <w:t>—</w:t>
      </w:r>
      <w:r>
        <w:rPr>
          <w:rFonts w:ascii="Times New Roman" w:hint="eastAsia"/>
        </w:rPr>
        <w:t xml:space="preserve"> </w:t>
      </w:r>
      <w:r>
        <w:rPr>
          <w:rFonts w:ascii="Times New Roman" w:hint="eastAsia"/>
        </w:rPr>
        <w:t>铅、砷在萃取液中的浓度，</w:t>
      </w:r>
      <w:r>
        <w:rPr>
          <w:rFonts w:ascii="Times New Roman" w:hint="eastAsia"/>
        </w:rPr>
        <w:t>mg/L</w:t>
      </w:r>
      <w:r>
        <w:rPr>
          <w:rFonts w:ascii="Times New Roman" w:hint="eastAsia"/>
        </w:rPr>
        <w:t>；</w:t>
      </w:r>
    </w:p>
    <w:p w14:paraId="1061BCDA" w14:textId="77777777" w:rsidR="00BA1C4E" w:rsidRDefault="008E428B">
      <w:pPr>
        <w:pStyle w:val="aff4"/>
        <w:rPr>
          <w:rFonts w:ascii="Times New Roman"/>
        </w:rPr>
      </w:pPr>
      <w:proofErr w:type="spellStart"/>
      <w:r>
        <w:rPr>
          <w:rFonts w:ascii="Times New Roman" w:hint="eastAsia"/>
        </w:rPr>
        <w:t>V</w:t>
      </w:r>
      <w:r w:rsidRPr="001D0FD5">
        <w:rPr>
          <w:rFonts w:ascii="Times New Roman" w:hint="eastAsia"/>
          <w:vertAlign w:val="subscript"/>
        </w:rPr>
        <w:t>ext</w:t>
      </w:r>
      <w:proofErr w:type="spellEnd"/>
      <w:r>
        <w:rPr>
          <w:rFonts w:ascii="Times New Roman" w:hint="eastAsia"/>
        </w:rPr>
        <w:t xml:space="preserve"> </w:t>
      </w:r>
      <w:r>
        <w:rPr>
          <w:rFonts w:ascii="Times New Roman" w:hint="eastAsia"/>
        </w:rPr>
        <w:t>—</w:t>
      </w:r>
      <w:r>
        <w:rPr>
          <w:rFonts w:ascii="Times New Roman" w:hint="eastAsia"/>
        </w:rPr>
        <w:t xml:space="preserve"> </w:t>
      </w:r>
      <w:r>
        <w:rPr>
          <w:rFonts w:ascii="Times New Roman" w:hint="eastAsia"/>
        </w:rPr>
        <w:t>萃取液体积，</w:t>
      </w:r>
      <w:r>
        <w:rPr>
          <w:rFonts w:ascii="Times New Roman" w:hint="eastAsia"/>
        </w:rPr>
        <w:t>L</w:t>
      </w:r>
      <w:r>
        <w:rPr>
          <w:rFonts w:ascii="Times New Roman" w:hint="eastAsia"/>
        </w:rPr>
        <w:t>；</w:t>
      </w:r>
    </w:p>
    <w:p w14:paraId="10969E29" w14:textId="77777777" w:rsidR="00BA1C4E" w:rsidRDefault="008E428B">
      <w:pPr>
        <w:pStyle w:val="aff4"/>
        <w:rPr>
          <w:rFonts w:ascii="Times New Roman"/>
        </w:rPr>
      </w:pPr>
      <w:proofErr w:type="spellStart"/>
      <w:r>
        <w:rPr>
          <w:rFonts w:ascii="Times New Roman" w:hint="eastAsia"/>
        </w:rPr>
        <w:t>Soil</w:t>
      </w:r>
      <w:r w:rsidRPr="000B026C">
        <w:rPr>
          <w:rFonts w:ascii="Times New Roman" w:hint="eastAsia"/>
          <w:vertAlign w:val="subscript"/>
        </w:rPr>
        <w:t>conc</w:t>
      </w:r>
      <w:proofErr w:type="spellEnd"/>
      <w:r>
        <w:rPr>
          <w:rFonts w:ascii="Times New Roman" w:hint="eastAsia"/>
        </w:rPr>
        <w:t xml:space="preserve"> </w:t>
      </w:r>
      <w:r>
        <w:rPr>
          <w:rFonts w:ascii="Times New Roman" w:hint="eastAsia"/>
        </w:rPr>
        <w:t>—</w:t>
      </w:r>
      <w:r>
        <w:rPr>
          <w:rFonts w:ascii="Times New Roman" w:hint="eastAsia"/>
        </w:rPr>
        <w:t xml:space="preserve"> </w:t>
      </w:r>
      <w:r>
        <w:rPr>
          <w:rFonts w:ascii="Times New Roman" w:hint="eastAsia"/>
        </w:rPr>
        <w:t>土壤样品中铅、砷的总浓度，</w:t>
      </w:r>
      <w:r>
        <w:rPr>
          <w:rFonts w:ascii="Times New Roman" w:hint="eastAsia"/>
        </w:rPr>
        <w:t>mg/kg</w:t>
      </w:r>
      <w:r>
        <w:rPr>
          <w:rFonts w:ascii="Times New Roman" w:hint="eastAsia"/>
        </w:rPr>
        <w:t>；</w:t>
      </w:r>
    </w:p>
    <w:p w14:paraId="7D3E4FC0" w14:textId="77777777" w:rsidR="00BA1C4E" w:rsidRDefault="008E428B">
      <w:pPr>
        <w:pStyle w:val="aff4"/>
        <w:rPr>
          <w:rFonts w:ascii="Times New Roman"/>
        </w:rPr>
      </w:pPr>
      <w:proofErr w:type="spellStart"/>
      <w:r>
        <w:rPr>
          <w:rFonts w:ascii="Times New Roman" w:hint="eastAsia"/>
        </w:rPr>
        <w:t>Soil</w:t>
      </w:r>
      <w:r w:rsidRPr="000B026C">
        <w:rPr>
          <w:rFonts w:ascii="Times New Roman" w:hint="eastAsia"/>
          <w:vertAlign w:val="subscript"/>
        </w:rPr>
        <w:t>mass</w:t>
      </w:r>
      <w:proofErr w:type="spellEnd"/>
      <w:r>
        <w:rPr>
          <w:rFonts w:ascii="Times New Roman" w:hint="eastAsia"/>
        </w:rPr>
        <w:t xml:space="preserve"> </w:t>
      </w:r>
      <w:r>
        <w:rPr>
          <w:rFonts w:ascii="Times New Roman" w:hint="eastAsia"/>
        </w:rPr>
        <w:t>—</w:t>
      </w:r>
      <w:r>
        <w:rPr>
          <w:rFonts w:ascii="Times New Roman" w:hint="eastAsia"/>
        </w:rPr>
        <w:t xml:space="preserve"> </w:t>
      </w:r>
      <w:r>
        <w:rPr>
          <w:rFonts w:ascii="Times New Roman" w:hint="eastAsia"/>
        </w:rPr>
        <w:t>土壤样品的质量，</w:t>
      </w:r>
      <w:r>
        <w:rPr>
          <w:rFonts w:ascii="Times New Roman" w:hint="eastAsia"/>
        </w:rPr>
        <w:t>kg</w:t>
      </w:r>
      <w:r>
        <w:rPr>
          <w:rFonts w:ascii="Times New Roman" w:hint="eastAsia"/>
        </w:rPr>
        <w:t>。</w:t>
      </w:r>
    </w:p>
    <w:p w14:paraId="5A86762E" w14:textId="77777777" w:rsidR="00BA1C4E" w:rsidRDefault="008E428B">
      <w:pPr>
        <w:pStyle w:val="aff4"/>
        <w:rPr>
          <w:rFonts w:ascii="Times New Roman"/>
          <w:kern w:val="2"/>
          <w:szCs w:val="24"/>
        </w:rPr>
      </w:pPr>
      <w:r>
        <w:rPr>
          <w:rFonts w:ascii="Times New Roman" w:hint="eastAsia"/>
        </w:rPr>
        <w:t>样品检测过程中如果进行了稀释，应该对计算结果进行适当校正。</w:t>
      </w:r>
    </w:p>
    <w:p w14:paraId="73709F3F" w14:textId="77777777" w:rsidR="00BA1C4E" w:rsidRDefault="00BA1C4E">
      <w:pPr>
        <w:pStyle w:val="aff4"/>
      </w:pPr>
    </w:p>
    <w:p w14:paraId="429A1A3D" w14:textId="77777777" w:rsidR="00BA1C4E" w:rsidRDefault="008E428B">
      <w:pPr>
        <w:pStyle w:val="afffffff0"/>
        <w:framePr w:wrap="around" w:y="1"/>
        <w:rPr>
          <w:color w:val="000000"/>
        </w:rPr>
      </w:pPr>
      <w:r>
        <w:rPr>
          <w:rFonts w:hint="eastAsia"/>
          <w:color w:val="000000"/>
        </w:rPr>
        <w:t>_________________________________</w:t>
      </w:r>
    </w:p>
    <w:p w14:paraId="2CED74CC" w14:textId="77777777" w:rsidR="00BA1C4E" w:rsidRDefault="00BA1C4E">
      <w:pPr>
        <w:jc w:val="center"/>
        <w:rPr>
          <w:color w:val="000000"/>
        </w:rPr>
      </w:pPr>
    </w:p>
    <w:p w14:paraId="2CA67966" w14:textId="77777777" w:rsidR="00BA1C4E" w:rsidRDefault="00BA1C4E">
      <w:pPr>
        <w:rPr>
          <w:color w:val="000000"/>
        </w:rPr>
      </w:pPr>
    </w:p>
    <w:sectPr w:rsidR="00BA1C4E">
      <w:headerReference w:type="even" r:id="rId13"/>
      <w:headerReference w:type="default" r:id="rId14"/>
      <w:footerReference w:type="even" r:id="rId15"/>
      <w:footerReference w:type="default" r:id="rId16"/>
      <w:pgSz w:w="11906" w:h="16838"/>
      <w:pgMar w:top="567" w:right="1134" w:bottom="1134" w:left="1417"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710B2" w14:textId="77777777" w:rsidR="00EB2942" w:rsidRDefault="00EB2942">
      <w:r>
        <w:separator/>
      </w:r>
    </w:p>
  </w:endnote>
  <w:endnote w:type="continuationSeparator" w:id="0">
    <w:p w14:paraId="4B88277E" w14:textId="77777777" w:rsidR="00EB2942" w:rsidRDefault="00EB2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方正黑体简体">
    <w:altName w:val="微软雅黑"/>
    <w:charset w:val="86"/>
    <w:family w:val="script"/>
    <w:pitch w:val="fixed"/>
    <w:sig w:usb0="00000001" w:usb1="080E0000" w:usb2="00000010" w:usb3="00000000" w:csb0="00040000" w:csb1="00000000"/>
  </w:font>
  <w:font w:name="方正粗圆简体">
    <w:altName w:val="微软雅黑"/>
    <w:charset w:val="86"/>
    <w:family w:val="script"/>
    <w:pitch w:val="fixed"/>
    <w:sig w:usb0="00000001" w:usb1="080E0000" w:usb2="00000010" w:usb3="00000000" w:csb0="00040000" w:csb1="00000000"/>
  </w:font>
  <w:font w:name="方正粗宋简体">
    <w:altName w:val="宋体"/>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FB91C" w14:textId="77777777" w:rsidR="002D373A" w:rsidRDefault="002D373A">
    <w:pPr>
      <w:pStyle w:val="aff"/>
    </w:pPr>
  </w:p>
  <w:p w14:paraId="09FD3480" w14:textId="0EB301C8" w:rsidR="002D373A" w:rsidRDefault="002D373A">
    <w:pPr>
      <w:pStyle w:val="affffffd"/>
    </w:pPr>
    <w:r>
      <w:fldChar w:fldCharType="begin"/>
    </w:r>
    <w:r>
      <w:instrText>PAGE   \* MERGEFORMAT</w:instrText>
    </w:r>
    <w:r>
      <w:fldChar w:fldCharType="separate"/>
    </w:r>
    <w:r w:rsidR="004F66B2" w:rsidRPr="004F66B2">
      <w:rPr>
        <w:noProof/>
        <w:lang w:val="zh-CN"/>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EB4F4" w14:textId="3521D2F3" w:rsidR="002D373A" w:rsidRDefault="002D373A">
    <w:pPr>
      <w:pStyle w:val="aff"/>
      <w:rPr>
        <w:rFonts w:ascii="宋体" w:hAnsi="宋体"/>
      </w:rPr>
    </w:pPr>
    <w:r>
      <w:rPr>
        <w:rFonts w:ascii="宋体" w:hAnsi="宋体"/>
      </w:rPr>
      <w:fldChar w:fldCharType="begin"/>
    </w:r>
    <w:r>
      <w:rPr>
        <w:rFonts w:ascii="宋体" w:hAnsi="宋体"/>
      </w:rPr>
      <w:instrText>PAGE   \* MERGEFORMAT</w:instrText>
    </w:r>
    <w:r>
      <w:rPr>
        <w:rFonts w:ascii="宋体" w:hAnsi="宋体"/>
      </w:rPr>
      <w:fldChar w:fldCharType="separate"/>
    </w:r>
    <w:r w:rsidR="004F66B2" w:rsidRPr="004F66B2">
      <w:rPr>
        <w:rFonts w:ascii="宋体" w:hAnsi="宋体"/>
        <w:noProof/>
        <w:lang w:val="zh-CN"/>
      </w:rPr>
      <w:t>I</w:t>
    </w:r>
    <w:r>
      <w:rPr>
        <w:rFonts w:ascii="宋体" w:hAnsi="宋体"/>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833F" w14:textId="63976C3C" w:rsidR="002D373A" w:rsidRDefault="002D373A">
    <w:pPr>
      <w:pStyle w:val="aff"/>
      <w:jc w:val="left"/>
      <w:rPr>
        <w:rFonts w:ascii="宋体" w:hAnsi="宋体"/>
      </w:rPr>
    </w:pPr>
    <w:r>
      <w:rPr>
        <w:rFonts w:ascii="宋体" w:hAnsi="宋体"/>
      </w:rPr>
      <w:fldChar w:fldCharType="begin"/>
    </w:r>
    <w:r>
      <w:rPr>
        <w:rFonts w:ascii="宋体" w:hAnsi="宋体"/>
      </w:rPr>
      <w:instrText>PAGE   \* MERGEFORMAT</w:instrText>
    </w:r>
    <w:r>
      <w:rPr>
        <w:rFonts w:ascii="宋体" w:hAnsi="宋体"/>
      </w:rPr>
      <w:fldChar w:fldCharType="separate"/>
    </w:r>
    <w:r w:rsidR="004F66B2" w:rsidRPr="004F66B2">
      <w:rPr>
        <w:rFonts w:ascii="宋体" w:hAnsi="宋体"/>
        <w:noProof/>
        <w:lang w:val="zh-CN"/>
      </w:rPr>
      <w:t>12</w:t>
    </w:r>
    <w:r>
      <w:rPr>
        <w:rFonts w:ascii="宋体" w:hAnsi="宋体"/>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D5F05" w14:textId="61357CD3" w:rsidR="002D373A" w:rsidRDefault="002D373A">
    <w:pPr>
      <w:pStyle w:val="aff"/>
      <w:rPr>
        <w:rFonts w:ascii="宋体" w:hAnsi="宋体"/>
      </w:rPr>
    </w:pPr>
    <w:r>
      <w:rPr>
        <w:rFonts w:ascii="宋体" w:hAnsi="宋体"/>
      </w:rPr>
      <w:fldChar w:fldCharType="begin"/>
    </w:r>
    <w:r>
      <w:rPr>
        <w:rFonts w:ascii="宋体" w:hAnsi="宋体"/>
      </w:rPr>
      <w:instrText>PAGE   \* MERGEFORMAT</w:instrText>
    </w:r>
    <w:r>
      <w:rPr>
        <w:rFonts w:ascii="宋体" w:hAnsi="宋体"/>
      </w:rPr>
      <w:fldChar w:fldCharType="separate"/>
    </w:r>
    <w:r w:rsidR="004F66B2" w:rsidRPr="004F66B2">
      <w:rPr>
        <w:rFonts w:ascii="宋体" w:hAnsi="宋体"/>
        <w:noProof/>
        <w:lang w:val="zh-CN"/>
      </w:rPr>
      <w:t>11</w:t>
    </w:r>
    <w:r>
      <w:rPr>
        <w:rFonts w:ascii="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18F2E" w14:textId="77777777" w:rsidR="00EB2942" w:rsidRDefault="00EB2942">
      <w:r>
        <w:separator/>
      </w:r>
    </w:p>
  </w:footnote>
  <w:footnote w:type="continuationSeparator" w:id="0">
    <w:p w14:paraId="1B4643EC" w14:textId="77777777" w:rsidR="00EB2942" w:rsidRDefault="00EB2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C96D1" w14:textId="33CB4C31" w:rsidR="002D373A" w:rsidRDefault="002D373A">
    <w:pPr>
      <w:pStyle w:val="aff1"/>
    </w:pPr>
    <w:r>
      <w:rPr>
        <w:rFonts w:ascii="黑体" w:eastAsia="黑体" w:hAnsi="黑体"/>
        <w:kern w:val="0"/>
        <w:sz w:val="21"/>
        <w:szCs w:val="21"/>
      </w:rPr>
      <w:t>T/HAEPCI 40-2023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8DD9" w14:textId="18E3D7E6" w:rsidR="002D373A" w:rsidRDefault="002D373A">
    <w:pPr>
      <w:pStyle w:val="aff1"/>
      <w:jc w:val="right"/>
      <w:rPr>
        <w:rFonts w:ascii="黑体" w:eastAsia="黑体" w:hAnsi="黑体"/>
        <w:sz w:val="21"/>
        <w:szCs w:val="21"/>
      </w:rPr>
    </w:pPr>
    <w:r>
      <w:rPr>
        <w:rFonts w:ascii="黑体" w:eastAsia="黑体" w:hAnsi="黑体"/>
        <w:sz w:val="21"/>
        <w:szCs w:val="21"/>
      </w:rPr>
      <w:t>T/HAEPCI 40-2023</w:t>
    </w:r>
  </w:p>
  <w:p w14:paraId="033FB054" w14:textId="77777777" w:rsidR="002D373A" w:rsidRDefault="002D373A">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B583B" w14:textId="39B1E5DF" w:rsidR="002D373A" w:rsidRDefault="002D373A">
    <w:pPr>
      <w:pStyle w:val="affff3"/>
      <w:jc w:val="left"/>
    </w:pPr>
    <w:r>
      <w:t>T/HAEPCI 40-2023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47893" w14:textId="75562F94" w:rsidR="002D373A" w:rsidRDefault="002D373A">
    <w:pPr>
      <w:pStyle w:val="affff3"/>
    </w:pPr>
    <w:r>
      <w:t>T/HAEPCI 40-2023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567"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2A8F7113"/>
    <w:multiLevelType w:val="multilevel"/>
    <w:tmpl w:val="2A8F7113"/>
    <w:lvl w:ilvl="0">
      <w:start w:val="1"/>
      <w:numFmt w:val="upperLetter"/>
      <w:pStyle w:val="a5"/>
      <w:suff w:val="space"/>
      <w:lvlText w:val="%1"/>
      <w:lvlJc w:val="left"/>
      <w:pPr>
        <w:ind w:left="623" w:hanging="425"/>
      </w:pPr>
      <w:rPr>
        <w:rFonts w:hint="eastAsia"/>
      </w:rPr>
    </w:lvl>
    <w:lvl w:ilvl="1">
      <w:start w:val="1"/>
      <w:numFmt w:val="decimal"/>
      <w:pStyle w:val="a6"/>
      <w:suff w:val="nothing"/>
      <w:lvlText w:val="图A.%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3" w15:restartNumberingAfterBreak="0">
    <w:nsid w:val="2C5917C3"/>
    <w:multiLevelType w:val="multilevel"/>
    <w:tmpl w:val="2C5917C3"/>
    <w:lvl w:ilvl="0">
      <w:start w:val="1"/>
      <w:numFmt w:val="none"/>
      <w:pStyle w:val="a7"/>
      <w:suff w:val="nothing"/>
      <w:lvlText w:val="%1——"/>
      <w:lvlJc w:val="left"/>
      <w:pPr>
        <w:ind w:left="833" w:hanging="408"/>
      </w:pPr>
      <w:rPr>
        <w:rFonts w:hint="eastAsia"/>
      </w:rPr>
    </w:lvl>
    <w:lvl w:ilvl="1">
      <w:start w:val="1"/>
      <w:numFmt w:val="bullet"/>
      <w:pStyle w:val="a8"/>
      <w:lvlText w:val=""/>
      <w:lvlJc w:val="left"/>
      <w:pPr>
        <w:tabs>
          <w:tab w:val="left" w:pos="760"/>
        </w:tabs>
        <w:ind w:left="1264" w:hanging="413"/>
      </w:pPr>
      <w:rPr>
        <w:rFonts w:ascii="Symbol" w:hAnsi="Symbol" w:hint="default"/>
        <w:color w:val="auto"/>
      </w:rPr>
    </w:lvl>
    <w:lvl w:ilvl="2">
      <w:start w:val="1"/>
      <w:numFmt w:val="bullet"/>
      <w:pStyle w:val="a9"/>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4" w15:restartNumberingAfterBreak="0">
    <w:nsid w:val="3D733618"/>
    <w:multiLevelType w:val="multilevel"/>
    <w:tmpl w:val="3D733618"/>
    <w:lvl w:ilvl="0">
      <w:start w:val="1"/>
      <w:numFmt w:val="decimal"/>
      <w:pStyle w:val="aa"/>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5" w15:restartNumberingAfterBreak="0">
    <w:nsid w:val="44C50F90"/>
    <w:multiLevelType w:val="multilevel"/>
    <w:tmpl w:val="44C50F90"/>
    <w:lvl w:ilvl="0">
      <w:start w:val="1"/>
      <w:numFmt w:val="lowerLetter"/>
      <w:pStyle w:val="ab"/>
      <w:lvlText w:val="%1)"/>
      <w:lvlJc w:val="left"/>
      <w:pPr>
        <w:tabs>
          <w:tab w:val="left" w:pos="840"/>
        </w:tabs>
        <w:ind w:left="839" w:hanging="419"/>
      </w:pPr>
      <w:rPr>
        <w:rFonts w:ascii="宋体" w:eastAsia="宋体" w:hint="eastAsia"/>
        <w:b w:val="0"/>
        <w:i w:val="0"/>
        <w:sz w:val="21"/>
        <w:szCs w:val="21"/>
      </w:rPr>
    </w:lvl>
    <w:lvl w:ilvl="1">
      <w:start w:val="1"/>
      <w:numFmt w:val="decimal"/>
      <w:pStyle w:val="ac"/>
      <w:lvlText w:val="%2)"/>
      <w:lvlJc w:val="left"/>
      <w:pPr>
        <w:tabs>
          <w:tab w:val="left" w:pos="1260"/>
        </w:tabs>
        <w:ind w:left="1259" w:hanging="419"/>
      </w:pPr>
      <w:rPr>
        <w:rFonts w:hint="eastAsia"/>
      </w:rPr>
    </w:lvl>
    <w:lvl w:ilvl="2">
      <w:start w:val="1"/>
      <w:numFmt w:val="decimal"/>
      <w:pStyle w:val="ad"/>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60B55DC2"/>
    <w:multiLevelType w:val="multilevel"/>
    <w:tmpl w:val="60B55DC2"/>
    <w:lvl w:ilvl="0">
      <w:start w:val="1"/>
      <w:numFmt w:val="upperLetter"/>
      <w:pStyle w:val="ae"/>
      <w:lvlText w:val="%1"/>
      <w:lvlJc w:val="left"/>
      <w:pPr>
        <w:tabs>
          <w:tab w:val="left" w:pos="0"/>
        </w:tabs>
        <w:ind w:left="0" w:hanging="425"/>
      </w:pPr>
      <w:rPr>
        <w:rFonts w:hint="eastAsia"/>
      </w:rPr>
    </w:lvl>
    <w:lvl w:ilvl="1">
      <w:start w:val="1"/>
      <w:numFmt w:val="decimal"/>
      <w:pStyle w:val="af"/>
      <w:suff w:val="nothing"/>
      <w:lvlText w:val="表%2　"/>
      <w:lvlJc w:val="left"/>
      <w:pPr>
        <w:ind w:left="567" w:hanging="567"/>
      </w:pPr>
      <w:rPr>
        <w:rFonts w:ascii="黑体" w:eastAsia="黑体" w:hAnsi="黑体"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7" w15:restartNumberingAfterBreak="0">
    <w:nsid w:val="657D3FBC"/>
    <w:multiLevelType w:val="multilevel"/>
    <w:tmpl w:val="657D3FBC"/>
    <w:lvl w:ilvl="0">
      <w:start w:val="1"/>
      <w:numFmt w:val="upperLetter"/>
      <w:pStyle w:val="af0"/>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D6C07CD"/>
    <w:multiLevelType w:val="multilevel"/>
    <w:tmpl w:val="6D6C07CD"/>
    <w:lvl w:ilvl="0">
      <w:start w:val="1"/>
      <w:numFmt w:val="lowerLetter"/>
      <w:pStyle w:val="af2"/>
      <w:lvlText w:val="%1)"/>
      <w:lvlJc w:val="left"/>
      <w:pPr>
        <w:tabs>
          <w:tab w:val="left" w:pos="839"/>
        </w:tabs>
        <w:ind w:left="839" w:hanging="419"/>
      </w:pPr>
      <w:rPr>
        <w:rFonts w:ascii="宋体" w:eastAsia="宋体" w:hint="eastAsia"/>
        <w:b w:val="0"/>
        <w:i w:val="0"/>
        <w:sz w:val="21"/>
      </w:rPr>
    </w:lvl>
    <w:lvl w:ilvl="1">
      <w:start w:val="1"/>
      <w:numFmt w:val="decimal"/>
      <w:pStyle w:val="af3"/>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abstractNumId w:val="4"/>
  </w:num>
  <w:num w:numId="2">
    <w:abstractNumId w:val="1"/>
  </w:num>
  <w:num w:numId="3">
    <w:abstractNumId w:val="7"/>
  </w:num>
  <w:num w:numId="4">
    <w:abstractNumId w:val="8"/>
  </w:num>
  <w:num w:numId="5">
    <w:abstractNumId w:val="2"/>
  </w:num>
  <w:num w:numId="6">
    <w:abstractNumId w:val="6"/>
  </w:num>
  <w:num w:numId="7">
    <w:abstractNumId w:val="0"/>
  </w:num>
  <w:num w:numId="8">
    <w:abstractNumId w:val="3"/>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mirrorMargin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TgzNjJmNDFmNjk1YmUxMTc2ZTkyYzJjYjNiMDQ0YTcifQ=="/>
  </w:docVars>
  <w:rsids>
    <w:rsidRoot w:val="00650531"/>
    <w:rsid w:val="00000244"/>
    <w:rsid w:val="0000025A"/>
    <w:rsid w:val="00000458"/>
    <w:rsid w:val="0000185F"/>
    <w:rsid w:val="00002107"/>
    <w:rsid w:val="00002850"/>
    <w:rsid w:val="00002B97"/>
    <w:rsid w:val="00003AC6"/>
    <w:rsid w:val="00004546"/>
    <w:rsid w:val="000052B7"/>
    <w:rsid w:val="0000586F"/>
    <w:rsid w:val="000064D5"/>
    <w:rsid w:val="00007134"/>
    <w:rsid w:val="00007D7C"/>
    <w:rsid w:val="00012A6F"/>
    <w:rsid w:val="00012C3B"/>
    <w:rsid w:val="0001306A"/>
    <w:rsid w:val="00013565"/>
    <w:rsid w:val="00013D86"/>
    <w:rsid w:val="00013E02"/>
    <w:rsid w:val="00014FB6"/>
    <w:rsid w:val="00015603"/>
    <w:rsid w:val="00015AE6"/>
    <w:rsid w:val="00015CA4"/>
    <w:rsid w:val="00015F29"/>
    <w:rsid w:val="000175E9"/>
    <w:rsid w:val="000176B7"/>
    <w:rsid w:val="0001793A"/>
    <w:rsid w:val="00020A3F"/>
    <w:rsid w:val="00020A9D"/>
    <w:rsid w:val="0002143C"/>
    <w:rsid w:val="00025A65"/>
    <w:rsid w:val="00026A04"/>
    <w:rsid w:val="00026A1A"/>
    <w:rsid w:val="00026C31"/>
    <w:rsid w:val="00027280"/>
    <w:rsid w:val="000279F7"/>
    <w:rsid w:val="000279F8"/>
    <w:rsid w:val="000304E5"/>
    <w:rsid w:val="00031B40"/>
    <w:rsid w:val="000320A7"/>
    <w:rsid w:val="0003245E"/>
    <w:rsid w:val="00033866"/>
    <w:rsid w:val="00033B9D"/>
    <w:rsid w:val="0003552A"/>
    <w:rsid w:val="00035925"/>
    <w:rsid w:val="00035AB8"/>
    <w:rsid w:val="000379F1"/>
    <w:rsid w:val="00037ADE"/>
    <w:rsid w:val="00037C56"/>
    <w:rsid w:val="00037C67"/>
    <w:rsid w:val="00041010"/>
    <w:rsid w:val="00041631"/>
    <w:rsid w:val="00042604"/>
    <w:rsid w:val="00043436"/>
    <w:rsid w:val="00043E7D"/>
    <w:rsid w:val="000441C8"/>
    <w:rsid w:val="000448A3"/>
    <w:rsid w:val="00045A75"/>
    <w:rsid w:val="00045D3D"/>
    <w:rsid w:val="00047A4E"/>
    <w:rsid w:val="00050981"/>
    <w:rsid w:val="00052269"/>
    <w:rsid w:val="0005289F"/>
    <w:rsid w:val="00053302"/>
    <w:rsid w:val="00053C4C"/>
    <w:rsid w:val="0005526E"/>
    <w:rsid w:val="00056677"/>
    <w:rsid w:val="00057A01"/>
    <w:rsid w:val="00060758"/>
    <w:rsid w:val="00060F13"/>
    <w:rsid w:val="00062D47"/>
    <w:rsid w:val="00063025"/>
    <w:rsid w:val="000639FB"/>
    <w:rsid w:val="00063D96"/>
    <w:rsid w:val="00063FDD"/>
    <w:rsid w:val="0006463B"/>
    <w:rsid w:val="0006474A"/>
    <w:rsid w:val="00065109"/>
    <w:rsid w:val="0006607A"/>
    <w:rsid w:val="000668CD"/>
    <w:rsid w:val="00067CDF"/>
    <w:rsid w:val="00067EE6"/>
    <w:rsid w:val="000709B6"/>
    <w:rsid w:val="00070DC6"/>
    <w:rsid w:val="0007478A"/>
    <w:rsid w:val="00074E8D"/>
    <w:rsid w:val="00074FBE"/>
    <w:rsid w:val="000751BE"/>
    <w:rsid w:val="00076095"/>
    <w:rsid w:val="0007721B"/>
    <w:rsid w:val="00080299"/>
    <w:rsid w:val="00080341"/>
    <w:rsid w:val="00080E20"/>
    <w:rsid w:val="00081147"/>
    <w:rsid w:val="00082923"/>
    <w:rsid w:val="000829D3"/>
    <w:rsid w:val="00083A09"/>
    <w:rsid w:val="0009005E"/>
    <w:rsid w:val="000904CD"/>
    <w:rsid w:val="00092279"/>
    <w:rsid w:val="00092857"/>
    <w:rsid w:val="00092A12"/>
    <w:rsid w:val="00092FDA"/>
    <w:rsid w:val="0009356C"/>
    <w:rsid w:val="0009418F"/>
    <w:rsid w:val="00094E9F"/>
    <w:rsid w:val="000956B5"/>
    <w:rsid w:val="00095847"/>
    <w:rsid w:val="00095B64"/>
    <w:rsid w:val="00097574"/>
    <w:rsid w:val="000A0D49"/>
    <w:rsid w:val="000A1853"/>
    <w:rsid w:val="000A20A9"/>
    <w:rsid w:val="000A2D22"/>
    <w:rsid w:val="000A3CDF"/>
    <w:rsid w:val="000A41C8"/>
    <w:rsid w:val="000A43C5"/>
    <w:rsid w:val="000A48B1"/>
    <w:rsid w:val="000A5F06"/>
    <w:rsid w:val="000A702D"/>
    <w:rsid w:val="000B026C"/>
    <w:rsid w:val="000B050C"/>
    <w:rsid w:val="000B0B86"/>
    <w:rsid w:val="000B106B"/>
    <w:rsid w:val="000B3143"/>
    <w:rsid w:val="000B3C2C"/>
    <w:rsid w:val="000B549C"/>
    <w:rsid w:val="000B6F8A"/>
    <w:rsid w:val="000B7DEB"/>
    <w:rsid w:val="000C06A4"/>
    <w:rsid w:val="000C1F22"/>
    <w:rsid w:val="000C33CA"/>
    <w:rsid w:val="000C3B93"/>
    <w:rsid w:val="000C459A"/>
    <w:rsid w:val="000C4E74"/>
    <w:rsid w:val="000C5779"/>
    <w:rsid w:val="000C5CA7"/>
    <w:rsid w:val="000C5E20"/>
    <w:rsid w:val="000C6122"/>
    <w:rsid w:val="000C64A6"/>
    <w:rsid w:val="000C6B05"/>
    <w:rsid w:val="000C6DD6"/>
    <w:rsid w:val="000C73D4"/>
    <w:rsid w:val="000C7479"/>
    <w:rsid w:val="000C7984"/>
    <w:rsid w:val="000D150A"/>
    <w:rsid w:val="000D17C3"/>
    <w:rsid w:val="000D2080"/>
    <w:rsid w:val="000D246C"/>
    <w:rsid w:val="000D3954"/>
    <w:rsid w:val="000D3B28"/>
    <w:rsid w:val="000D3D4C"/>
    <w:rsid w:val="000D4178"/>
    <w:rsid w:val="000D4B6E"/>
    <w:rsid w:val="000D4F51"/>
    <w:rsid w:val="000D596C"/>
    <w:rsid w:val="000D5F1A"/>
    <w:rsid w:val="000D718B"/>
    <w:rsid w:val="000E06B3"/>
    <w:rsid w:val="000E0C46"/>
    <w:rsid w:val="000E14AC"/>
    <w:rsid w:val="000E1EBF"/>
    <w:rsid w:val="000E415C"/>
    <w:rsid w:val="000E464D"/>
    <w:rsid w:val="000E524F"/>
    <w:rsid w:val="000F006D"/>
    <w:rsid w:val="000F030C"/>
    <w:rsid w:val="000F05F4"/>
    <w:rsid w:val="000F129C"/>
    <w:rsid w:val="000F17C1"/>
    <w:rsid w:val="000F230C"/>
    <w:rsid w:val="000F33DC"/>
    <w:rsid w:val="000F4C84"/>
    <w:rsid w:val="000F507E"/>
    <w:rsid w:val="000F6C87"/>
    <w:rsid w:val="001005AD"/>
    <w:rsid w:val="001007BE"/>
    <w:rsid w:val="00102C7F"/>
    <w:rsid w:val="0010304E"/>
    <w:rsid w:val="00103C89"/>
    <w:rsid w:val="00103DF0"/>
    <w:rsid w:val="001043FC"/>
    <w:rsid w:val="001048F0"/>
    <w:rsid w:val="001050DB"/>
    <w:rsid w:val="001056DE"/>
    <w:rsid w:val="001066DA"/>
    <w:rsid w:val="00106CBC"/>
    <w:rsid w:val="00110AC8"/>
    <w:rsid w:val="00110C01"/>
    <w:rsid w:val="0011192D"/>
    <w:rsid w:val="00111A09"/>
    <w:rsid w:val="001124C0"/>
    <w:rsid w:val="001145D6"/>
    <w:rsid w:val="001155F4"/>
    <w:rsid w:val="00116B39"/>
    <w:rsid w:val="001200A5"/>
    <w:rsid w:val="00120EB4"/>
    <w:rsid w:val="00121850"/>
    <w:rsid w:val="00122251"/>
    <w:rsid w:val="00122D03"/>
    <w:rsid w:val="001232AA"/>
    <w:rsid w:val="00125891"/>
    <w:rsid w:val="00125B8A"/>
    <w:rsid w:val="00125BB5"/>
    <w:rsid w:val="0012762D"/>
    <w:rsid w:val="00130143"/>
    <w:rsid w:val="00130BAB"/>
    <w:rsid w:val="00130F07"/>
    <w:rsid w:val="001314DC"/>
    <w:rsid w:val="0013175F"/>
    <w:rsid w:val="00132756"/>
    <w:rsid w:val="001344C6"/>
    <w:rsid w:val="001346F0"/>
    <w:rsid w:val="0013775E"/>
    <w:rsid w:val="001410D4"/>
    <w:rsid w:val="00141AE5"/>
    <w:rsid w:val="0014362F"/>
    <w:rsid w:val="00145231"/>
    <w:rsid w:val="00145A5D"/>
    <w:rsid w:val="00147123"/>
    <w:rsid w:val="001471B4"/>
    <w:rsid w:val="001478CE"/>
    <w:rsid w:val="00150BFB"/>
    <w:rsid w:val="00150F07"/>
    <w:rsid w:val="0015106A"/>
    <w:rsid w:val="001512B4"/>
    <w:rsid w:val="00151693"/>
    <w:rsid w:val="00153992"/>
    <w:rsid w:val="00153F07"/>
    <w:rsid w:val="00154C38"/>
    <w:rsid w:val="001572E0"/>
    <w:rsid w:val="00160DAF"/>
    <w:rsid w:val="00161A7E"/>
    <w:rsid w:val="00161CB4"/>
    <w:rsid w:val="001620A5"/>
    <w:rsid w:val="00163C5D"/>
    <w:rsid w:val="0016446D"/>
    <w:rsid w:val="00164E53"/>
    <w:rsid w:val="0016699D"/>
    <w:rsid w:val="00166E53"/>
    <w:rsid w:val="00167A1C"/>
    <w:rsid w:val="001707D6"/>
    <w:rsid w:val="00171C0C"/>
    <w:rsid w:val="00172730"/>
    <w:rsid w:val="00172A27"/>
    <w:rsid w:val="00172DF4"/>
    <w:rsid w:val="001746A2"/>
    <w:rsid w:val="001750A0"/>
    <w:rsid w:val="00175159"/>
    <w:rsid w:val="00175358"/>
    <w:rsid w:val="00175719"/>
    <w:rsid w:val="00176208"/>
    <w:rsid w:val="00176C60"/>
    <w:rsid w:val="00177123"/>
    <w:rsid w:val="00177F5F"/>
    <w:rsid w:val="00180419"/>
    <w:rsid w:val="001805F3"/>
    <w:rsid w:val="00181C3A"/>
    <w:rsid w:val="0018211B"/>
    <w:rsid w:val="001821AB"/>
    <w:rsid w:val="00182509"/>
    <w:rsid w:val="00182F43"/>
    <w:rsid w:val="00184010"/>
    <w:rsid w:val="001840D3"/>
    <w:rsid w:val="00184A8B"/>
    <w:rsid w:val="00184F4C"/>
    <w:rsid w:val="001854A0"/>
    <w:rsid w:val="0018584D"/>
    <w:rsid w:val="00185B5C"/>
    <w:rsid w:val="00185CC3"/>
    <w:rsid w:val="0018642C"/>
    <w:rsid w:val="00187254"/>
    <w:rsid w:val="001872EC"/>
    <w:rsid w:val="001900F8"/>
    <w:rsid w:val="00191258"/>
    <w:rsid w:val="00191812"/>
    <w:rsid w:val="00192680"/>
    <w:rsid w:val="00193037"/>
    <w:rsid w:val="00193865"/>
    <w:rsid w:val="00193A2C"/>
    <w:rsid w:val="0019431A"/>
    <w:rsid w:val="00195A36"/>
    <w:rsid w:val="00196702"/>
    <w:rsid w:val="001974DE"/>
    <w:rsid w:val="001A013D"/>
    <w:rsid w:val="001A03CD"/>
    <w:rsid w:val="001A2132"/>
    <w:rsid w:val="001A225D"/>
    <w:rsid w:val="001A270F"/>
    <w:rsid w:val="001A288E"/>
    <w:rsid w:val="001A2B90"/>
    <w:rsid w:val="001A2DB3"/>
    <w:rsid w:val="001A2DE1"/>
    <w:rsid w:val="001A2E62"/>
    <w:rsid w:val="001A3487"/>
    <w:rsid w:val="001A354D"/>
    <w:rsid w:val="001A4823"/>
    <w:rsid w:val="001A5062"/>
    <w:rsid w:val="001B1281"/>
    <w:rsid w:val="001B4DE0"/>
    <w:rsid w:val="001B5EB5"/>
    <w:rsid w:val="001B6104"/>
    <w:rsid w:val="001B6DC2"/>
    <w:rsid w:val="001B71E5"/>
    <w:rsid w:val="001B7CDB"/>
    <w:rsid w:val="001C04CF"/>
    <w:rsid w:val="001C0F03"/>
    <w:rsid w:val="001C11C2"/>
    <w:rsid w:val="001C149C"/>
    <w:rsid w:val="001C1FF6"/>
    <w:rsid w:val="001C21AC"/>
    <w:rsid w:val="001C47BA"/>
    <w:rsid w:val="001C49B0"/>
    <w:rsid w:val="001C49CC"/>
    <w:rsid w:val="001C59EA"/>
    <w:rsid w:val="001C60E4"/>
    <w:rsid w:val="001C6560"/>
    <w:rsid w:val="001C6C48"/>
    <w:rsid w:val="001C7733"/>
    <w:rsid w:val="001C7B6D"/>
    <w:rsid w:val="001C7D61"/>
    <w:rsid w:val="001D0FD5"/>
    <w:rsid w:val="001D11DE"/>
    <w:rsid w:val="001D1E0D"/>
    <w:rsid w:val="001D230D"/>
    <w:rsid w:val="001D273A"/>
    <w:rsid w:val="001D406C"/>
    <w:rsid w:val="001D41EE"/>
    <w:rsid w:val="001D48A7"/>
    <w:rsid w:val="001D4C0A"/>
    <w:rsid w:val="001D6B07"/>
    <w:rsid w:val="001D6E82"/>
    <w:rsid w:val="001D7A3F"/>
    <w:rsid w:val="001E0380"/>
    <w:rsid w:val="001E13B1"/>
    <w:rsid w:val="001E1485"/>
    <w:rsid w:val="001E17E2"/>
    <w:rsid w:val="001E2EFE"/>
    <w:rsid w:val="001E2F5C"/>
    <w:rsid w:val="001E3DDA"/>
    <w:rsid w:val="001E3F91"/>
    <w:rsid w:val="001E4057"/>
    <w:rsid w:val="001E415A"/>
    <w:rsid w:val="001E4E1D"/>
    <w:rsid w:val="001E571C"/>
    <w:rsid w:val="001E5A30"/>
    <w:rsid w:val="001E6979"/>
    <w:rsid w:val="001E6F77"/>
    <w:rsid w:val="001E7BF0"/>
    <w:rsid w:val="001F115E"/>
    <w:rsid w:val="001F2F84"/>
    <w:rsid w:val="001F30AB"/>
    <w:rsid w:val="001F36C2"/>
    <w:rsid w:val="001F3A19"/>
    <w:rsid w:val="001F3C5E"/>
    <w:rsid w:val="001F429C"/>
    <w:rsid w:val="001F444F"/>
    <w:rsid w:val="001F46AC"/>
    <w:rsid w:val="001F6610"/>
    <w:rsid w:val="001F6B7F"/>
    <w:rsid w:val="0020036A"/>
    <w:rsid w:val="002011BD"/>
    <w:rsid w:val="00201206"/>
    <w:rsid w:val="00202E59"/>
    <w:rsid w:val="00203489"/>
    <w:rsid w:val="00203CDB"/>
    <w:rsid w:val="00203F2B"/>
    <w:rsid w:val="00204EC8"/>
    <w:rsid w:val="00204FCC"/>
    <w:rsid w:val="00205B55"/>
    <w:rsid w:val="00210037"/>
    <w:rsid w:val="002102F3"/>
    <w:rsid w:val="002116E3"/>
    <w:rsid w:val="00212ECA"/>
    <w:rsid w:val="002147FD"/>
    <w:rsid w:val="00215839"/>
    <w:rsid w:val="0021618B"/>
    <w:rsid w:val="0021704E"/>
    <w:rsid w:val="00217ADE"/>
    <w:rsid w:val="00217BC8"/>
    <w:rsid w:val="002209B0"/>
    <w:rsid w:val="00220BD0"/>
    <w:rsid w:val="002211F6"/>
    <w:rsid w:val="002213F5"/>
    <w:rsid w:val="0022169D"/>
    <w:rsid w:val="002219C8"/>
    <w:rsid w:val="002221EE"/>
    <w:rsid w:val="002234C2"/>
    <w:rsid w:val="00224A0A"/>
    <w:rsid w:val="00224ECB"/>
    <w:rsid w:val="002273F7"/>
    <w:rsid w:val="00231262"/>
    <w:rsid w:val="0023133F"/>
    <w:rsid w:val="0023165D"/>
    <w:rsid w:val="002318AC"/>
    <w:rsid w:val="00231C75"/>
    <w:rsid w:val="00231C7A"/>
    <w:rsid w:val="0023207A"/>
    <w:rsid w:val="002320AB"/>
    <w:rsid w:val="00233492"/>
    <w:rsid w:val="00234467"/>
    <w:rsid w:val="00234F62"/>
    <w:rsid w:val="00234FAC"/>
    <w:rsid w:val="0023711B"/>
    <w:rsid w:val="00237D8D"/>
    <w:rsid w:val="00240FC0"/>
    <w:rsid w:val="00241031"/>
    <w:rsid w:val="00241D8F"/>
    <w:rsid w:val="00241DA2"/>
    <w:rsid w:val="00243DD1"/>
    <w:rsid w:val="0024650C"/>
    <w:rsid w:val="00246B91"/>
    <w:rsid w:val="00247B25"/>
    <w:rsid w:val="00247B8A"/>
    <w:rsid w:val="00247FEE"/>
    <w:rsid w:val="00250398"/>
    <w:rsid w:val="00250E7D"/>
    <w:rsid w:val="00251629"/>
    <w:rsid w:val="00252B28"/>
    <w:rsid w:val="00252CAF"/>
    <w:rsid w:val="002555F4"/>
    <w:rsid w:val="002565D5"/>
    <w:rsid w:val="002565FA"/>
    <w:rsid w:val="00257054"/>
    <w:rsid w:val="00257E82"/>
    <w:rsid w:val="00257E94"/>
    <w:rsid w:val="002608E9"/>
    <w:rsid w:val="00260972"/>
    <w:rsid w:val="002611EE"/>
    <w:rsid w:val="0026142B"/>
    <w:rsid w:val="002622C0"/>
    <w:rsid w:val="002638DE"/>
    <w:rsid w:val="00263F78"/>
    <w:rsid w:val="0026648B"/>
    <w:rsid w:val="0026748A"/>
    <w:rsid w:val="002677DC"/>
    <w:rsid w:val="002678FE"/>
    <w:rsid w:val="00267FE9"/>
    <w:rsid w:val="002707DD"/>
    <w:rsid w:val="00271DFD"/>
    <w:rsid w:val="002727F3"/>
    <w:rsid w:val="00272BF4"/>
    <w:rsid w:val="00272DEF"/>
    <w:rsid w:val="00273FF4"/>
    <w:rsid w:val="0027482F"/>
    <w:rsid w:val="0027631D"/>
    <w:rsid w:val="00276796"/>
    <w:rsid w:val="002771AF"/>
    <w:rsid w:val="00277325"/>
    <w:rsid w:val="002778AE"/>
    <w:rsid w:val="00280980"/>
    <w:rsid w:val="0028269A"/>
    <w:rsid w:val="00282FE5"/>
    <w:rsid w:val="00283590"/>
    <w:rsid w:val="00283F8D"/>
    <w:rsid w:val="00284013"/>
    <w:rsid w:val="00285389"/>
    <w:rsid w:val="00285679"/>
    <w:rsid w:val="00286973"/>
    <w:rsid w:val="00286DE3"/>
    <w:rsid w:val="002870AA"/>
    <w:rsid w:val="002871FE"/>
    <w:rsid w:val="0029018A"/>
    <w:rsid w:val="00290950"/>
    <w:rsid w:val="002914EC"/>
    <w:rsid w:val="00294324"/>
    <w:rsid w:val="00294E70"/>
    <w:rsid w:val="00295C5E"/>
    <w:rsid w:val="00296DB0"/>
    <w:rsid w:val="002972F7"/>
    <w:rsid w:val="00297B2C"/>
    <w:rsid w:val="002A147C"/>
    <w:rsid w:val="002A1924"/>
    <w:rsid w:val="002A2FFB"/>
    <w:rsid w:val="002A3218"/>
    <w:rsid w:val="002A3266"/>
    <w:rsid w:val="002A37A1"/>
    <w:rsid w:val="002A48D2"/>
    <w:rsid w:val="002A48F5"/>
    <w:rsid w:val="002A4906"/>
    <w:rsid w:val="002A4E0E"/>
    <w:rsid w:val="002A650C"/>
    <w:rsid w:val="002A668C"/>
    <w:rsid w:val="002A692D"/>
    <w:rsid w:val="002A6A0E"/>
    <w:rsid w:val="002A6AB8"/>
    <w:rsid w:val="002A6FBF"/>
    <w:rsid w:val="002A7189"/>
    <w:rsid w:val="002A7420"/>
    <w:rsid w:val="002B0DBD"/>
    <w:rsid w:val="002B0F12"/>
    <w:rsid w:val="002B1160"/>
    <w:rsid w:val="002B1308"/>
    <w:rsid w:val="002B1324"/>
    <w:rsid w:val="002B17A1"/>
    <w:rsid w:val="002B18CF"/>
    <w:rsid w:val="002B1BD9"/>
    <w:rsid w:val="002B2434"/>
    <w:rsid w:val="002B4172"/>
    <w:rsid w:val="002B4554"/>
    <w:rsid w:val="002B5854"/>
    <w:rsid w:val="002B589A"/>
    <w:rsid w:val="002B6E85"/>
    <w:rsid w:val="002C1421"/>
    <w:rsid w:val="002C21CC"/>
    <w:rsid w:val="002C2EFC"/>
    <w:rsid w:val="002C30C1"/>
    <w:rsid w:val="002C3242"/>
    <w:rsid w:val="002C3D23"/>
    <w:rsid w:val="002C3E4D"/>
    <w:rsid w:val="002C4F01"/>
    <w:rsid w:val="002C562D"/>
    <w:rsid w:val="002C72D8"/>
    <w:rsid w:val="002C7626"/>
    <w:rsid w:val="002C7B45"/>
    <w:rsid w:val="002C7B7A"/>
    <w:rsid w:val="002C7B87"/>
    <w:rsid w:val="002D005C"/>
    <w:rsid w:val="002D01ED"/>
    <w:rsid w:val="002D11FA"/>
    <w:rsid w:val="002D2385"/>
    <w:rsid w:val="002D373A"/>
    <w:rsid w:val="002D516F"/>
    <w:rsid w:val="002D51AD"/>
    <w:rsid w:val="002D5B5B"/>
    <w:rsid w:val="002D5BFA"/>
    <w:rsid w:val="002D67BC"/>
    <w:rsid w:val="002E0DDF"/>
    <w:rsid w:val="002E0EB4"/>
    <w:rsid w:val="002E11B4"/>
    <w:rsid w:val="002E15B0"/>
    <w:rsid w:val="002E2906"/>
    <w:rsid w:val="002E336B"/>
    <w:rsid w:val="002E5635"/>
    <w:rsid w:val="002E5A29"/>
    <w:rsid w:val="002E5F4E"/>
    <w:rsid w:val="002E64C3"/>
    <w:rsid w:val="002E6A2C"/>
    <w:rsid w:val="002E6E8D"/>
    <w:rsid w:val="002F0216"/>
    <w:rsid w:val="002F1897"/>
    <w:rsid w:val="002F1D8C"/>
    <w:rsid w:val="002F21DA"/>
    <w:rsid w:val="002F2A03"/>
    <w:rsid w:val="002F6086"/>
    <w:rsid w:val="002F7002"/>
    <w:rsid w:val="002F73E5"/>
    <w:rsid w:val="002F7693"/>
    <w:rsid w:val="002F7889"/>
    <w:rsid w:val="002F78B7"/>
    <w:rsid w:val="002F7E33"/>
    <w:rsid w:val="003006FC"/>
    <w:rsid w:val="00300C54"/>
    <w:rsid w:val="003018DB"/>
    <w:rsid w:val="00301DCC"/>
    <w:rsid w:val="00301F39"/>
    <w:rsid w:val="00303276"/>
    <w:rsid w:val="0030411F"/>
    <w:rsid w:val="003053E1"/>
    <w:rsid w:val="00306322"/>
    <w:rsid w:val="003079EC"/>
    <w:rsid w:val="003107C1"/>
    <w:rsid w:val="00310BC7"/>
    <w:rsid w:val="00311566"/>
    <w:rsid w:val="00311CFD"/>
    <w:rsid w:val="00312208"/>
    <w:rsid w:val="003124E9"/>
    <w:rsid w:val="003129A9"/>
    <w:rsid w:val="00312C9D"/>
    <w:rsid w:val="0031392F"/>
    <w:rsid w:val="00313E64"/>
    <w:rsid w:val="00314B84"/>
    <w:rsid w:val="00315F26"/>
    <w:rsid w:val="00316254"/>
    <w:rsid w:val="00316AFA"/>
    <w:rsid w:val="00316BAD"/>
    <w:rsid w:val="00316C9D"/>
    <w:rsid w:val="00317009"/>
    <w:rsid w:val="003170DD"/>
    <w:rsid w:val="00320AF9"/>
    <w:rsid w:val="00320DDD"/>
    <w:rsid w:val="00321CF6"/>
    <w:rsid w:val="00321D4E"/>
    <w:rsid w:val="0032241D"/>
    <w:rsid w:val="0032293F"/>
    <w:rsid w:val="00323EBF"/>
    <w:rsid w:val="00325135"/>
    <w:rsid w:val="00325926"/>
    <w:rsid w:val="00325952"/>
    <w:rsid w:val="00325FFB"/>
    <w:rsid w:val="00327A8A"/>
    <w:rsid w:val="00330F3A"/>
    <w:rsid w:val="00331EA1"/>
    <w:rsid w:val="00332183"/>
    <w:rsid w:val="0033264B"/>
    <w:rsid w:val="00333914"/>
    <w:rsid w:val="00334337"/>
    <w:rsid w:val="00335264"/>
    <w:rsid w:val="00336610"/>
    <w:rsid w:val="0033740C"/>
    <w:rsid w:val="003375F9"/>
    <w:rsid w:val="00340599"/>
    <w:rsid w:val="00340C2C"/>
    <w:rsid w:val="003411F3"/>
    <w:rsid w:val="003413DB"/>
    <w:rsid w:val="003414DA"/>
    <w:rsid w:val="00342A31"/>
    <w:rsid w:val="00343F73"/>
    <w:rsid w:val="00344B66"/>
    <w:rsid w:val="00345060"/>
    <w:rsid w:val="00346674"/>
    <w:rsid w:val="003467BE"/>
    <w:rsid w:val="00347260"/>
    <w:rsid w:val="003479BF"/>
    <w:rsid w:val="003505EC"/>
    <w:rsid w:val="00350D4D"/>
    <w:rsid w:val="0035323B"/>
    <w:rsid w:val="003546E5"/>
    <w:rsid w:val="0035624A"/>
    <w:rsid w:val="00356629"/>
    <w:rsid w:val="00357394"/>
    <w:rsid w:val="003609D2"/>
    <w:rsid w:val="0036209D"/>
    <w:rsid w:val="003631DB"/>
    <w:rsid w:val="003631E0"/>
    <w:rsid w:val="00363C60"/>
    <w:rsid w:val="00363F22"/>
    <w:rsid w:val="0036424D"/>
    <w:rsid w:val="00364BA1"/>
    <w:rsid w:val="00365C36"/>
    <w:rsid w:val="00367563"/>
    <w:rsid w:val="003676D1"/>
    <w:rsid w:val="00367A8B"/>
    <w:rsid w:val="00370458"/>
    <w:rsid w:val="00371ACC"/>
    <w:rsid w:val="00373687"/>
    <w:rsid w:val="003739EF"/>
    <w:rsid w:val="00373B14"/>
    <w:rsid w:val="003746F4"/>
    <w:rsid w:val="0037505B"/>
    <w:rsid w:val="00375354"/>
    <w:rsid w:val="00375564"/>
    <w:rsid w:val="00377178"/>
    <w:rsid w:val="00377703"/>
    <w:rsid w:val="00377C75"/>
    <w:rsid w:val="00377CDB"/>
    <w:rsid w:val="00380F15"/>
    <w:rsid w:val="00380F56"/>
    <w:rsid w:val="00382361"/>
    <w:rsid w:val="00382B7F"/>
    <w:rsid w:val="00383122"/>
    <w:rsid w:val="00383191"/>
    <w:rsid w:val="00383412"/>
    <w:rsid w:val="00384C99"/>
    <w:rsid w:val="00384E1C"/>
    <w:rsid w:val="00385331"/>
    <w:rsid w:val="003855D9"/>
    <w:rsid w:val="00385E94"/>
    <w:rsid w:val="003861D7"/>
    <w:rsid w:val="003862B3"/>
    <w:rsid w:val="00386DED"/>
    <w:rsid w:val="0038737D"/>
    <w:rsid w:val="00387848"/>
    <w:rsid w:val="00390DC4"/>
    <w:rsid w:val="00390EE3"/>
    <w:rsid w:val="003912E7"/>
    <w:rsid w:val="003915FC"/>
    <w:rsid w:val="003918F8"/>
    <w:rsid w:val="0039201B"/>
    <w:rsid w:val="0039352D"/>
    <w:rsid w:val="00393947"/>
    <w:rsid w:val="00393D09"/>
    <w:rsid w:val="00394BAA"/>
    <w:rsid w:val="00394DF1"/>
    <w:rsid w:val="00394E86"/>
    <w:rsid w:val="0039519D"/>
    <w:rsid w:val="003954EB"/>
    <w:rsid w:val="0039600C"/>
    <w:rsid w:val="003960C2"/>
    <w:rsid w:val="0039672E"/>
    <w:rsid w:val="00396E95"/>
    <w:rsid w:val="003A0A79"/>
    <w:rsid w:val="003A1C86"/>
    <w:rsid w:val="003A2275"/>
    <w:rsid w:val="003A2BEA"/>
    <w:rsid w:val="003A2C5F"/>
    <w:rsid w:val="003A64CE"/>
    <w:rsid w:val="003A683A"/>
    <w:rsid w:val="003A6A4F"/>
    <w:rsid w:val="003A7088"/>
    <w:rsid w:val="003B00DF"/>
    <w:rsid w:val="003B0C4D"/>
    <w:rsid w:val="003B1275"/>
    <w:rsid w:val="003B12D9"/>
    <w:rsid w:val="003B1778"/>
    <w:rsid w:val="003B1D1F"/>
    <w:rsid w:val="003B5917"/>
    <w:rsid w:val="003B6377"/>
    <w:rsid w:val="003B665D"/>
    <w:rsid w:val="003B7396"/>
    <w:rsid w:val="003B74EE"/>
    <w:rsid w:val="003B7609"/>
    <w:rsid w:val="003B7CEE"/>
    <w:rsid w:val="003B7D6F"/>
    <w:rsid w:val="003C104C"/>
    <w:rsid w:val="003C11CB"/>
    <w:rsid w:val="003C23D6"/>
    <w:rsid w:val="003C2D4A"/>
    <w:rsid w:val="003C3114"/>
    <w:rsid w:val="003C3278"/>
    <w:rsid w:val="003C42A1"/>
    <w:rsid w:val="003C5155"/>
    <w:rsid w:val="003C5385"/>
    <w:rsid w:val="003C58CD"/>
    <w:rsid w:val="003C5FA6"/>
    <w:rsid w:val="003C6149"/>
    <w:rsid w:val="003C657C"/>
    <w:rsid w:val="003C75F3"/>
    <w:rsid w:val="003C78A3"/>
    <w:rsid w:val="003C7C30"/>
    <w:rsid w:val="003C7E1E"/>
    <w:rsid w:val="003D0359"/>
    <w:rsid w:val="003D089F"/>
    <w:rsid w:val="003D0A36"/>
    <w:rsid w:val="003D214B"/>
    <w:rsid w:val="003D2F52"/>
    <w:rsid w:val="003D4778"/>
    <w:rsid w:val="003D4F93"/>
    <w:rsid w:val="003E0EC2"/>
    <w:rsid w:val="003E1234"/>
    <w:rsid w:val="003E1867"/>
    <w:rsid w:val="003E2E53"/>
    <w:rsid w:val="003E3014"/>
    <w:rsid w:val="003E3845"/>
    <w:rsid w:val="003E39BA"/>
    <w:rsid w:val="003E5729"/>
    <w:rsid w:val="003F0D75"/>
    <w:rsid w:val="003F18F2"/>
    <w:rsid w:val="003F1B8E"/>
    <w:rsid w:val="003F2780"/>
    <w:rsid w:val="003F46E5"/>
    <w:rsid w:val="003F4EE0"/>
    <w:rsid w:val="003F531D"/>
    <w:rsid w:val="003F6955"/>
    <w:rsid w:val="003F6AB6"/>
    <w:rsid w:val="003F7ABD"/>
    <w:rsid w:val="0040136E"/>
    <w:rsid w:val="004020CB"/>
    <w:rsid w:val="00402153"/>
    <w:rsid w:val="00402418"/>
    <w:rsid w:val="00402F73"/>
    <w:rsid w:val="00402FC1"/>
    <w:rsid w:val="00403C54"/>
    <w:rsid w:val="00404134"/>
    <w:rsid w:val="0040416B"/>
    <w:rsid w:val="0040431A"/>
    <w:rsid w:val="0040441B"/>
    <w:rsid w:val="0040513A"/>
    <w:rsid w:val="00405D95"/>
    <w:rsid w:val="00407944"/>
    <w:rsid w:val="004106A6"/>
    <w:rsid w:val="00410D96"/>
    <w:rsid w:val="00411DDF"/>
    <w:rsid w:val="00413071"/>
    <w:rsid w:val="00413456"/>
    <w:rsid w:val="00413F3D"/>
    <w:rsid w:val="0041401B"/>
    <w:rsid w:val="00414FB6"/>
    <w:rsid w:val="00415265"/>
    <w:rsid w:val="00415591"/>
    <w:rsid w:val="0041617F"/>
    <w:rsid w:val="0041736E"/>
    <w:rsid w:val="00420716"/>
    <w:rsid w:val="0042458D"/>
    <w:rsid w:val="00425082"/>
    <w:rsid w:val="004256AA"/>
    <w:rsid w:val="004263D4"/>
    <w:rsid w:val="00427D9D"/>
    <w:rsid w:val="00427DCB"/>
    <w:rsid w:val="00430214"/>
    <w:rsid w:val="00430395"/>
    <w:rsid w:val="004304F2"/>
    <w:rsid w:val="00431BF8"/>
    <w:rsid w:val="00431DEB"/>
    <w:rsid w:val="00433DCF"/>
    <w:rsid w:val="0043517C"/>
    <w:rsid w:val="0043522F"/>
    <w:rsid w:val="00435D1D"/>
    <w:rsid w:val="004402B6"/>
    <w:rsid w:val="00440569"/>
    <w:rsid w:val="00446B29"/>
    <w:rsid w:val="0044747C"/>
    <w:rsid w:val="004504EA"/>
    <w:rsid w:val="00451D40"/>
    <w:rsid w:val="00452490"/>
    <w:rsid w:val="00453112"/>
    <w:rsid w:val="0045382F"/>
    <w:rsid w:val="00453F9A"/>
    <w:rsid w:val="00455A8E"/>
    <w:rsid w:val="0045673B"/>
    <w:rsid w:val="00456806"/>
    <w:rsid w:val="00456BCB"/>
    <w:rsid w:val="00457481"/>
    <w:rsid w:val="0045797E"/>
    <w:rsid w:val="00457CF1"/>
    <w:rsid w:val="00460D6D"/>
    <w:rsid w:val="00461F56"/>
    <w:rsid w:val="00462818"/>
    <w:rsid w:val="004630B4"/>
    <w:rsid w:val="00463103"/>
    <w:rsid w:val="00463BED"/>
    <w:rsid w:val="00463E52"/>
    <w:rsid w:val="00464AFB"/>
    <w:rsid w:val="004655EC"/>
    <w:rsid w:val="00466D82"/>
    <w:rsid w:val="004676DD"/>
    <w:rsid w:val="004679DD"/>
    <w:rsid w:val="0047134F"/>
    <w:rsid w:val="004715B0"/>
    <w:rsid w:val="004717AC"/>
    <w:rsid w:val="00471E91"/>
    <w:rsid w:val="00473D4A"/>
    <w:rsid w:val="00474533"/>
    <w:rsid w:val="00474675"/>
    <w:rsid w:val="0047470C"/>
    <w:rsid w:val="0047480F"/>
    <w:rsid w:val="00474C9B"/>
    <w:rsid w:val="00474F62"/>
    <w:rsid w:val="00475219"/>
    <w:rsid w:val="00475C07"/>
    <w:rsid w:val="004763D1"/>
    <w:rsid w:val="00477E25"/>
    <w:rsid w:val="00480338"/>
    <w:rsid w:val="00480B25"/>
    <w:rsid w:val="004815AE"/>
    <w:rsid w:val="004818DB"/>
    <w:rsid w:val="00481C41"/>
    <w:rsid w:val="004826DB"/>
    <w:rsid w:val="0048541F"/>
    <w:rsid w:val="00485AAC"/>
    <w:rsid w:val="004860E8"/>
    <w:rsid w:val="004873CD"/>
    <w:rsid w:val="004922F9"/>
    <w:rsid w:val="004925B2"/>
    <w:rsid w:val="004931B1"/>
    <w:rsid w:val="00493686"/>
    <w:rsid w:val="00494358"/>
    <w:rsid w:val="00494E0A"/>
    <w:rsid w:val="004962D7"/>
    <w:rsid w:val="0049673E"/>
    <w:rsid w:val="004970ED"/>
    <w:rsid w:val="0049775C"/>
    <w:rsid w:val="00497ADA"/>
    <w:rsid w:val="00497AE5"/>
    <w:rsid w:val="004A061D"/>
    <w:rsid w:val="004A11F8"/>
    <w:rsid w:val="004A16D1"/>
    <w:rsid w:val="004A1F17"/>
    <w:rsid w:val="004A22D6"/>
    <w:rsid w:val="004A2ED4"/>
    <w:rsid w:val="004A35F9"/>
    <w:rsid w:val="004A4642"/>
    <w:rsid w:val="004A477B"/>
    <w:rsid w:val="004A52E0"/>
    <w:rsid w:val="004A5318"/>
    <w:rsid w:val="004A5660"/>
    <w:rsid w:val="004A61E7"/>
    <w:rsid w:val="004A6D32"/>
    <w:rsid w:val="004B03A7"/>
    <w:rsid w:val="004B05CB"/>
    <w:rsid w:val="004B1BA5"/>
    <w:rsid w:val="004B24C1"/>
    <w:rsid w:val="004B2B0D"/>
    <w:rsid w:val="004B3436"/>
    <w:rsid w:val="004B3E92"/>
    <w:rsid w:val="004B4C7B"/>
    <w:rsid w:val="004B5556"/>
    <w:rsid w:val="004B65FC"/>
    <w:rsid w:val="004B6696"/>
    <w:rsid w:val="004B6781"/>
    <w:rsid w:val="004C0062"/>
    <w:rsid w:val="004C0252"/>
    <w:rsid w:val="004C1FA5"/>
    <w:rsid w:val="004C2904"/>
    <w:rsid w:val="004C292F"/>
    <w:rsid w:val="004C61A5"/>
    <w:rsid w:val="004C6C9F"/>
    <w:rsid w:val="004C71CB"/>
    <w:rsid w:val="004D11DA"/>
    <w:rsid w:val="004D124A"/>
    <w:rsid w:val="004D1864"/>
    <w:rsid w:val="004D1C51"/>
    <w:rsid w:val="004D5296"/>
    <w:rsid w:val="004D55D9"/>
    <w:rsid w:val="004D6006"/>
    <w:rsid w:val="004D6FB7"/>
    <w:rsid w:val="004E092D"/>
    <w:rsid w:val="004E1BBD"/>
    <w:rsid w:val="004E1F5B"/>
    <w:rsid w:val="004E24E8"/>
    <w:rsid w:val="004E2580"/>
    <w:rsid w:val="004E27C7"/>
    <w:rsid w:val="004E28A7"/>
    <w:rsid w:val="004E3298"/>
    <w:rsid w:val="004E3B98"/>
    <w:rsid w:val="004E4699"/>
    <w:rsid w:val="004E4DDA"/>
    <w:rsid w:val="004E6843"/>
    <w:rsid w:val="004E6B8B"/>
    <w:rsid w:val="004E7D10"/>
    <w:rsid w:val="004F0A1E"/>
    <w:rsid w:val="004F0CCD"/>
    <w:rsid w:val="004F0D28"/>
    <w:rsid w:val="004F0D8B"/>
    <w:rsid w:val="004F28FF"/>
    <w:rsid w:val="004F350A"/>
    <w:rsid w:val="004F3B14"/>
    <w:rsid w:val="004F43FC"/>
    <w:rsid w:val="004F462F"/>
    <w:rsid w:val="004F66B2"/>
    <w:rsid w:val="004F6E8C"/>
    <w:rsid w:val="004F766A"/>
    <w:rsid w:val="005001F0"/>
    <w:rsid w:val="00500D8B"/>
    <w:rsid w:val="005011B4"/>
    <w:rsid w:val="00501EF9"/>
    <w:rsid w:val="00503708"/>
    <w:rsid w:val="00503E3A"/>
    <w:rsid w:val="00504EA2"/>
    <w:rsid w:val="0050612B"/>
    <w:rsid w:val="00506236"/>
    <w:rsid w:val="005064AC"/>
    <w:rsid w:val="00507517"/>
    <w:rsid w:val="00507DF7"/>
    <w:rsid w:val="00510280"/>
    <w:rsid w:val="00511FAB"/>
    <w:rsid w:val="005128A4"/>
    <w:rsid w:val="005133A5"/>
    <w:rsid w:val="005134F0"/>
    <w:rsid w:val="00513D73"/>
    <w:rsid w:val="00513D78"/>
    <w:rsid w:val="00514A43"/>
    <w:rsid w:val="0051515E"/>
    <w:rsid w:val="005151BB"/>
    <w:rsid w:val="0051529E"/>
    <w:rsid w:val="005168CC"/>
    <w:rsid w:val="005172FD"/>
    <w:rsid w:val="005174E5"/>
    <w:rsid w:val="005203E3"/>
    <w:rsid w:val="005217BE"/>
    <w:rsid w:val="00521A86"/>
    <w:rsid w:val="00522393"/>
    <w:rsid w:val="00522620"/>
    <w:rsid w:val="00522B1E"/>
    <w:rsid w:val="00524536"/>
    <w:rsid w:val="0052455E"/>
    <w:rsid w:val="005255AA"/>
    <w:rsid w:val="00525656"/>
    <w:rsid w:val="00525C62"/>
    <w:rsid w:val="00527C3A"/>
    <w:rsid w:val="00527DE6"/>
    <w:rsid w:val="00530968"/>
    <w:rsid w:val="00530B16"/>
    <w:rsid w:val="005314D6"/>
    <w:rsid w:val="0053191C"/>
    <w:rsid w:val="00532C55"/>
    <w:rsid w:val="00532DC2"/>
    <w:rsid w:val="00533A51"/>
    <w:rsid w:val="00534C02"/>
    <w:rsid w:val="005356A8"/>
    <w:rsid w:val="00536542"/>
    <w:rsid w:val="00540CC3"/>
    <w:rsid w:val="00541878"/>
    <w:rsid w:val="005421AF"/>
    <w:rsid w:val="00542420"/>
    <w:rsid w:val="0054253C"/>
    <w:rsid w:val="0054264B"/>
    <w:rsid w:val="005427D4"/>
    <w:rsid w:val="00543786"/>
    <w:rsid w:val="00545238"/>
    <w:rsid w:val="005464A0"/>
    <w:rsid w:val="00546C0E"/>
    <w:rsid w:val="00551614"/>
    <w:rsid w:val="00551A43"/>
    <w:rsid w:val="00552896"/>
    <w:rsid w:val="00552CAA"/>
    <w:rsid w:val="00552D98"/>
    <w:rsid w:val="005531FA"/>
    <w:rsid w:val="005533D7"/>
    <w:rsid w:val="00554845"/>
    <w:rsid w:val="005556A7"/>
    <w:rsid w:val="00555912"/>
    <w:rsid w:val="00556381"/>
    <w:rsid w:val="005575E1"/>
    <w:rsid w:val="00557CAA"/>
    <w:rsid w:val="00557D71"/>
    <w:rsid w:val="00560461"/>
    <w:rsid w:val="00560C4C"/>
    <w:rsid w:val="00561802"/>
    <w:rsid w:val="00562505"/>
    <w:rsid w:val="005638DB"/>
    <w:rsid w:val="00564BEC"/>
    <w:rsid w:val="00566188"/>
    <w:rsid w:val="00566CE0"/>
    <w:rsid w:val="0056716F"/>
    <w:rsid w:val="00567216"/>
    <w:rsid w:val="005703DE"/>
    <w:rsid w:val="005712FF"/>
    <w:rsid w:val="00572C6E"/>
    <w:rsid w:val="005737E0"/>
    <w:rsid w:val="00573FA1"/>
    <w:rsid w:val="005754D6"/>
    <w:rsid w:val="005755F6"/>
    <w:rsid w:val="00576D53"/>
    <w:rsid w:val="005771C6"/>
    <w:rsid w:val="005771D8"/>
    <w:rsid w:val="00577340"/>
    <w:rsid w:val="005774CF"/>
    <w:rsid w:val="005779F2"/>
    <w:rsid w:val="00580446"/>
    <w:rsid w:val="00583039"/>
    <w:rsid w:val="00583926"/>
    <w:rsid w:val="00584573"/>
    <w:rsid w:val="0058464E"/>
    <w:rsid w:val="00584699"/>
    <w:rsid w:val="00584A88"/>
    <w:rsid w:val="005850CD"/>
    <w:rsid w:val="00585E83"/>
    <w:rsid w:val="0058611E"/>
    <w:rsid w:val="0058682D"/>
    <w:rsid w:val="00586C1C"/>
    <w:rsid w:val="00586EB2"/>
    <w:rsid w:val="005905CA"/>
    <w:rsid w:val="005913BB"/>
    <w:rsid w:val="00591847"/>
    <w:rsid w:val="005918B4"/>
    <w:rsid w:val="00591B20"/>
    <w:rsid w:val="00591E03"/>
    <w:rsid w:val="00591FA9"/>
    <w:rsid w:val="005933F2"/>
    <w:rsid w:val="00594910"/>
    <w:rsid w:val="00594B80"/>
    <w:rsid w:val="0059510F"/>
    <w:rsid w:val="00595BBA"/>
    <w:rsid w:val="00596831"/>
    <w:rsid w:val="00596996"/>
    <w:rsid w:val="00597127"/>
    <w:rsid w:val="005977EC"/>
    <w:rsid w:val="00597935"/>
    <w:rsid w:val="005A01CB"/>
    <w:rsid w:val="005A2542"/>
    <w:rsid w:val="005A2898"/>
    <w:rsid w:val="005A343C"/>
    <w:rsid w:val="005A37E1"/>
    <w:rsid w:val="005A40C0"/>
    <w:rsid w:val="005A4A08"/>
    <w:rsid w:val="005A53F3"/>
    <w:rsid w:val="005A58B8"/>
    <w:rsid w:val="005A58FF"/>
    <w:rsid w:val="005A5B0F"/>
    <w:rsid w:val="005A5EAF"/>
    <w:rsid w:val="005A64C0"/>
    <w:rsid w:val="005A7408"/>
    <w:rsid w:val="005A761A"/>
    <w:rsid w:val="005A7695"/>
    <w:rsid w:val="005B22DC"/>
    <w:rsid w:val="005B27C0"/>
    <w:rsid w:val="005B27D8"/>
    <w:rsid w:val="005B2998"/>
    <w:rsid w:val="005B3503"/>
    <w:rsid w:val="005B3C11"/>
    <w:rsid w:val="005B3C25"/>
    <w:rsid w:val="005B3C41"/>
    <w:rsid w:val="005B3E04"/>
    <w:rsid w:val="005B3EB4"/>
    <w:rsid w:val="005B4C1C"/>
    <w:rsid w:val="005B5393"/>
    <w:rsid w:val="005B5C1C"/>
    <w:rsid w:val="005B5D5F"/>
    <w:rsid w:val="005B64E6"/>
    <w:rsid w:val="005C04BA"/>
    <w:rsid w:val="005C1106"/>
    <w:rsid w:val="005C1C28"/>
    <w:rsid w:val="005C47F5"/>
    <w:rsid w:val="005C4C6B"/>
    <w:rsid w:val="005C4F26"/>
    <w:rsid w:val="005C6DB5"/>
    <w:rsid w:val="005C6DC0"/>
    <w:rsid w:val="005C6E38"/>
    <w:rsid w:val="005D0F68"/>
    <w:rsid w:val="005D2151"/>
    <w:rsid w:val="005D2165"/>
    <w:rsid w:val="005D4493"/>
    <w:rsid w:val="005D49B7"/>
    <w:rsid w:val="005D6354"/>
    <w:rsid w:val="005D6AFC"/>
    <w:rsid w:val="005D6BB0"/>
    <w:rsid w:val="005D6F4D"/>
    <w:rsid w:val="005D7589"/>
    <w:rsid w:val="005D77E7"/>
    <w:rsid w:val="005D7A3B"/>
    <w:rsid w:val="005E003C"/>
    <w:rsid w:val="005E088D"/>
    <w:rsid w:val="005E1026"/>
    <w:rsid w:val="005E11F5"/>
    <w:rsid w:val="005E19B9"/>
    <w:rsid w:val="005E19E7"/>
    <w:rsid w:val="005E1D67"/>
    <w:rsid w:val="005E1DEB"/>
    <w:rsid w:val="005E291A"/>
    <w:rsid w:val="005E3637"/>
    <w:rsid w:val="005E64C1"/>
    <w:rsid w:val="005E6F10"/>
    <w:rsid w:val="005E77CF"/>
    <w:rsid w:val="005E7EE8"/>
    <w:rsid w:val="005F171C"/>
    <w:rsid w:val="005F2BF3"/>
    <w:rsid w:val="005F31C0"/>
    <w:rsid w:val="005F3950"/>
    <w:rsid w:val="005F4D13"/>
    <w:rsid w:val="005F6287"/>
    <w:rsid w:val="005F6A07"/>
    <w:rsid w:val="006010F0"/>
    <w:rsid w:val="00601AA3"/>
    <w:rsid w:val="00601B16"/>
    <w:rsid w:val="00602232"/>
    <w:rsid w:val="0060236A"/>
    <w:rsid w:val="00602B0F"/>
    <w:rsid w:val="00602B64"/>
    <w:rsid w:val="00603AAD"/>
    <w:rsid w:val="00603CDD"/>
    <w:rsid w:val="0060408D"/>
    <w:rsid w:val="006048D3"/>
    <w:rsid w:val="00605229"/>
    <w:rsid w:val="006072F5"/>
    <w:rsid w:val="00614042"/>
    <w:rsid w:val="00614918"/>
    <w:rsid w:val="0061545E"/>
    <w:rsid w:val="00616467"/>
    <w:rsid w:val="0061716C"/>
    <w:rsid w:val="00617380"/>
    <w:rsid w:val="00621138"/>
    <w:rsid w:val="00621392"/>
    <w:rsid w:val="0062238C"/>
    <w:rsid w:val="006225FE"/>
    <w:rsid w:val="00622ADC"/>
    <w:rsid w:val="006243A1"/>
    <w:rsid w:val="006243EE"/>
    <w:rsid w:val="00625747"/>
    <w:rsid w:val="006265D9"/>
    <w:rsid w:val="0062687C"/>
    <w:rsid w:val="0063140B"/>
    <w:rsid w:val="00632536"/>
    <w:rsid w:val="0063264E"/>
    <w:rsid w:val="00632E56"/>
    <w:rsid w:val="00633210"/>
    <w:rsid w:val="006334B3"/>
    <w:rsid w:val="00634ACD"/>
    <w:rsid w:val="00635CBA"/>
    <w:rsid w:val="00637622"/>
    <w:rsid w:val="00637D0E"/>
    <w:rsid w:val="006400A3"/>
    <w:rsid w:val="0064080D"/>
    <w:rsid w:val="00641374"/>
    <w:rsid w:val="00642991"/>
    <w:rsid w:val="00642A1B"/>
    <w:rsid w:val="00642E7C"/>
    <w:rsid w:val="00642E80"/>
    <w:rsid w:val="006432F2"/>
    <w:rsid w:val="0064338B"/>
    <w:rsid w:val="006433D0"/>
    <w:rsid w:val="00644A7D"/>
    <w:rsid w:val="00646542"/>
    <w:rsid w:val="00646651"/>
    <w:rsid w:val="00646C3A"/>
    <w:rsid w:val="00646DCC"/>
    <w:rsid w:val="00647B60"/>
    <w:rsid w:val="006504F4"/>
    <w:rsid w:val="00650531"/>
    <w:rsid w:val="006511C9"/>
    <w:rsid w:val="0065165E"/>
    <w:rsid w:val="00651A84"/>
    <w:rsid w:val="0065398B"/>
    <w:rsid w:val="00654016"/>
    <w:rsid w:val="00654BC9"/>
    <w:rsid w:val="006552FD"/>
    <w:rsid w:val="0065607C"/>
    <w:rsid w:val="0065746A"/>
    <w:rsid w:val="0066121F"/>
    <w:rsid w:val="00661B4A"/>
    <w:rsid w:val="00662173"/>
    <w:rsid w:val="00663AF3"/>
    <w:rsid w:val="00663BE7"/>
    <w:rsid w:val="00664E31"/>
    <w:rsid w:val="00666940"/>
    <w:rsid w:val="00666B6C"/>
    <w:rsid w:val="006678D5"/>
    <w:rsid w:val="00667A98"/>
    <w:rsid w:val="0067124A"/>
    <w:rsid w:val="00672055"/>
    <w:rsid w:val="00672E55"/>
    <w:rsid w:val="00673ACC"/>
    <w:rsid w:val="00673CCD"/>
    <w:rsid w:val="00674483"/>
    <w:rsid w:val="00674C6B"/>
    <w:rsid w:val="00674EF6"/>
    <w:rsid w:val="006752E2"/>
    <w:rsid w:val="006761F5"/>
    <w:rsid w:val="006765E4"/>
    <w:rsid w:val="00680701"/>
    <w:rsid w:val="00681694"/>
    <w:rsid w:val="0068184B"/>
    <w:rsid w:val="00682682"/>
    <w:rsid w:val="00682702"/>
    <w:rsid w:val="00682E3B"/>
    <w:rsid w:val="00684975"/>
    <w:rsid w:val="006855A7"/>
    <w:rsid w:val="006858C3"/>
    <w:rsid w:val="00685F70"/>
    <w:rsid w:val="00687143"/>
    <w:rsid w:val="00687AF1"/>
    <w:rsid w:val="00687F08"/>
    <w:rsid w:val="006917D0"/>
    <w:rsid w:val="00692368"/>
    <w:rsid w:val="00693427"/>
    <w:rsid w:val="00694FFA"/>
    <w:rsid w:val="0069690D"/>
    <w:rsid w:val="006975EB"/>
    <w:rsid w:val="0069779A"/>
    <w:rsid w:val="006A0311"/>
    <w:rsid w:val="006A07AC"/>
    <w:rsid w:val="006A085D"/>
    <w:rsid w:val="006A0ABC"/>
    <w:rsid w:val="006A1F3E"/>
    <w:rsid w:val="006A2EBC"/>
    <w:rsid w:val="006A37FC"/>
    <w:rsid w:val="006A3E19"/>
    <w:rsid w:val="006A461B"/>
    <w:rsid w:val="006A53F0"/>
    <w:rsid w:val="006A5EA0"/>
    <w:rsid w:val="006A5FDA"/>
    <w:rsid w:val="006A67C7"/>
    <w:rsid w:val="006A68AD"/>
    <w:rsid w:val="006A783B"/>
    <w:rsid w:val="006A7B33"/>
    <w:rsid w:val="006B12AD"/>
    <w:rsid w:val="006B242A"/>
    <w:rsid w:val="006B3214"/>
    <w:rsid w:val="006B32BF"/>
    <w:rsid w:val="006B3DF0"/>
    <w:rsid w:val="006B4E13"/>
    <w:rsid w:val="006B6273"/>
    <w:rsid w:val="006B69BC"/>
    <w:rsid w:val="006B73D9"/>
    <w:rsid w:val="006B7483"/>
    <w:rsid w:val="006B75DD"/>
    <w:rsid w:val="006C09EA"/>
    <w:rsid w:val="006C2DC2"/>
    <w:rsid w:val="006C318F"/>
    <w:rsid w:val="006C406B"/>
    <w:rsid w:val="006C46E4"/>
    <w:rsid w:val="006C508D"/>
    <w:rsid w:val="006C5318"/>
    <w:rsid w:val="006C6025"/>
    <w:rsid w:val="006C67E0"/>
    <w:rsid w:val="006C6F15"/>
    <w:rsid w:val="006C7ABA"/>
    <w:rsid w:val="006D0295"/>
    <w:rsid w:val="006D0CC7"/>
    <w:rsid w:val="006D0D60"/>
    <w:rsid w:val="006D1122"/>
    <w:rsid w:val="006D1134"/>
    <w:rsid w:val="006D372F"/>
    <w:rsid w:val="006D3C00"/>
    <w:rsid w:val="006D4B45"/>
    <w:rsid w:val="006D4FE2"/>
    <w:rsid w:val="006D5946"/>
    <w:rsid w:val="006D5CA0"/>
    <w:rsid w:val="006D6E00"/>
    <w:rsid w:val="006D7D45"/>
    <w:rsid w:val="006E0766"/>
    <w:rsid w:val="006E15E8"/>
    <w:rsid w:val="006E22D9"/>
    <w:rsid w:val="006E2F24"/>
    <w:rsid w:val="006E3675"/>
    <w:rsid w:val="006E3B64"/>
    <w:rsid w:val="006E3C8C"/>
    <w:rsid w:val="006E4A7F"/>
    <w:rsid w:val="006E4DB1"/>
    <w:rsid w:val="006F0852"/>
    <w:rsid w:val="006F0B25"/>
    <w:rsid w:val="006F116A"/>
    <w:rsid w:val="006F159A"/>
    <w:rsid w:val="006F2108"/>
    <w:rsid w:val="006F2FA8"/>
    <w:rsid w:val="006F2FC0"/>
    <w:rsid w:val="006F3C41"/>
    <w:rsid w:val="006F4DA9"/>
    <w:rsid w:val="006F55D4"/>
    <w:rsid w:val="006F5861"/>
    <w:rsid w:val="006F6471"/>
    <w:rsid w:val="006F7810"/>
    <w:rsid w:val="006F7872"/>
    <w:rsid w:val="00700660"/>
    <w:rsid w:val="0070155B"/>
    <w:rsid w:val="00702E8E"/>
    <w:rsid w:val="00703111"/>
    <w:rsid w:val="00703970"/>
    <w:rsid w:val="00704CEA"/>
    <w:rsid w:val="00704DF6"/>
    <w:rsid w:val="00704E1E"/>
    <w:rsid w:val="0070651C"/>
    <w:rsid w:val="00706A0D"/>
    <w:rsid w:val="00710D69"/>
    <w:rsid w:val="00711888"/>
    <w:rsid w:val="007118A4"/>
    <w:rsid w:val="007127B6"/>
    <w:rsid w:val="007132A3"/>
    <w:rsid w:val="00714302"/>
    <w:rsid w:val="00714A12"/>
    <w:rsid w:val="00714D75"/>
    <w:rsid w:val="0071573C"/>
    <w:rsid w:val="00716421"/>
    <w:rsid w:val="0071652E"/>
    <w:rsid w:val="0071679C"/>
    <w:rsid w:val="00716C76"/>
    <w:rsid w:val="00717771"/>
    <w:rsid w:val="007177A9"/>
    <w:rsid w:val="00717996"/>
    <w:rsid w:val="00717AFE"/>
    <w:rsid w:val="0072028A"/>
    <w:rsid w:val="007217A4"/>
    <w:rsid w:val="007226D8"/>
    <w:rsid w:val="00722A9D"/>
    <w:rsid w:val="0072309F"/>
    <w:rsid w:val="00724EFB"/>
    <w:rsid w:val="00725387"/>
    <w:rsid w:val="00725D63"/>
    <w:rsid w:val="007265C6"/>
    <w:rsid w:val="00726EE2"/>
    <w:rsid w:val="007325BC"/>
    <w:rsid w:val="00733E6C"/>
    <w:rsid w:val="00736440"/>
    <w:rsid w:val="00736C58"/>
    <w:rsid w:val="00736E8A"/>
    <w:rsid w:val="00736F7E"/>
    <w:rsid w:val="0074065C"/>
    <w:rsid w:val="0074078A"/>
    <w:rsid w:val="00741451"/>
    <w:rsid w:val="007417BF"/>
    <w:rsid w:val="007419C3"/>
    <w:rsid w:val="0074230F"/>
    <w:rsid w:val="00742D30"/>
    <w:rsid w:val="007444A7"/>
    <w:rsid w:val="007460D9"/>
    <w:rsid w:val="007467A7"/>
    <w:rsid w:val="0074685E"/>
    <w:rsid w:val="007469DD"/>
    <w:rsid w:val="00746B84"/>
    <w:rsid w:val="0074741B"/>
    <w:rsid w:val="0074742C"/>
    <w:rsid w:val="0074759E"/>
    <w:rsid w:val="007478EA"/>
    <w:rsid w:val="007508AB"/>
    <w:rsid w:val="00750928"/>
    <w:rsid w:val="00750AAC"/>
    <w:rsid w:val="00750DB5"/>
    <w:rsid w:val="007525E6"/>
    <w:rsid w:val="00752F23"/>
    <w:rsid w:val="0075415C"/>
    <w:rsid w:val="007547E0"/>
    <w:rsid w:val="007561FC"/>
    <w:rsid w:val="00756F16"/>
    <w:rsid w:val="00757951"/>
    <w:rsid w:val="0076040E"/>
    <w:rsid w:val="00761046"/>
    <w:rsid w:val="0076109F"/>
    <w:rsid w:val="00762C12"/>
    <w:rsid w:val="00763502"/>
    <w:rsid w:val="00764224"/>
    <w:rsid w:val="007654EB"/>
    <w:rsid w:val="00765DA3"/>
    <w:rsid w:val="0077165C"/>
    <w:rsid w:val="007733C5"/>
    <w:rsid w:val="0077637E"/>
    <w:rsid w:val="00776413"/>
    <w:rsid w:val="007778A7"/>
    <w:rsid w:val="00781812"/>
    <w:rsid w:val="0078283E"/>
    <w:rsid w:val="00782CB8"/>
    <w:rsid w:val="00783DC4"/>
    <w:rsid w:val="0078416F"/>
    <w:rsid w:val="0078469D"/>
    <w:rsid w:val="00784A07"/>
    <w:rsid w:val="00784EEF"/>
    <w:rsid w:val="00785275"/>
    <w:rsid w:val="00785387"/>
    <w:rsid w:val="0078752D"/>
    <w:rsid w:val="00790E21"/>
    <w:rsid w:val="007913AB"/>
    <w:rsid w:val="007914F7"/>
    <w:rsid w:val="0079291F"/>
    <w:rsid w:val="00792DBD"/>
    <w:rsid w:val="0079409B"/>
    <w:rsid w:val="00794478"/>
    <w:rsid w:val="007945E4"/>
    <w:rsid w:val="00794904"/>
    <w:rsid w:val="00795785"/>
    <w:rsid w:val="00797064"/>
    <w:rsid w:val="00797161"/>
    <w:rsid w:val="007979FC"/>
    <w:rsid w:val="00797F38"/>
    <w:rsid w:val="007A5100"/>
    <w:rsid w:val="007A54A2"/>
    <w:rsid w:val="007A5F32"/>
    <w:rsid w:val="007A7680"/>
    <w:rsid w:val="007A7B30"/>
    <w:rsid w:val="007A7DD4"/>
    <w:rsid w:val="007A7EC0"/>
    <w:rsid w:val="007B06AF"/>
    <w:rsid w:val="007B0B83"/>
    <w:rsid w:val="007B108D"/>
    <w:rsid w:val="007B1368"/>
    <w:rsid w:val="007B1625"/>
    <w:rsid w:val="007B2431"/>
    <w:rsid w:val="007B35EB"/>
    <w:rsid w:val="007B3732"/>
    <w:rsid w:val="007B4405"/>
    <w:rsid w:val="007B481B"/>
    <w:rsid w:val="007B5827"/>
    <w:rsid w:val="007B6071"/>
    <w:rsid w:val="007B65D5"/>
    <w:rsid w:val="007B706E"/>
    <w:rsid w:val="007B71EB"/>
    <w:rsid w:val="007C0018"/>
    <w:rsid w:val="007C03E4"/>
    <w:rsid w:val="007C0C91"/>
    <w:rsid w:val="007C1414"/>
    <w:rsid w:val="007C1E6D"/>
    <w:rsid w:val="007C3361"/>
    <w:rsid w:val="007C61DB"/>
    <w:rsid w:val="007C6205"/>
    <w:rsid w:val="007C686A"/>
    <w:rsid w:val="007C728E"/>
    <w:rsid w:val="007C78D8"/>
    <w:rsid w:val="007C79CC"/>
    <w:rsid w:val="007D028F"/>
    <w:rsid w:val="007D03AE"/>
    <w:rsid w:val="007D05A3"/>
    <w:rsid w:val="007D211D"/>
    <w:rsid w:val="007D2C53"/>
    <w:rsid w:val="007D3106"/>
    <w:rsid w:val="007D351D"/>
    <w:rsid w:val="007D3D60"/>
    <w:rsid w:val="007D3FF5"/>
    <w:rsid w:val="007D4C25"/>
    <w:rsid w:val="007D59E4"/>
    <w:rsid w:val="007E0058"/>
    <w:rsid w:val="007E0ABC"/>
    <w:rsid w:val="007E18F2"/>
    <w:rsid w:val="007E1980"/>
    <w:rsid w:val="007E24DE"/>
    <w:rsid w:val="007E28A5"/>
    <w:rsid w:val="007E3785"/>
    <w:rsid w:val="007E4B76"/>
    <w:rsid w:val="007E4ED4"/>
    <w:rsid w:val="007E5BD5"/>
    <w:rsid w:val="007E5EA8"/>
    <w:rsid w:val="007E6EA3"/>
    <w:rsid w:val="007E7289"/>
    <w:rsid w:val="007E74BC"/>
    <w:rsid w:val="007F0A65"/>
    <w:rsid w:val="007F0CB9"/>
    <w:rsid w:val="007F0CF1"/>
    <w:rsid w:val="007F12A5"/>
    <w:rsid w:val="007F223B"/>
    <w:rsid w:val="007F2D3F"/>
    <w:rsid w:val="007F3368"/>
    <w:rsid w:val="007F4150"/>
    <w:rsid w:val="007F4B0C"/>
    <w:rsid w:val="007F4CF1"/>
    <w:rsid w:val="007F5A69"/>
    <w:rsid w:val="007F758D"/>
    <w:rsid w:val="007F75F9"/>
    <w:rsid w:val="007F7D52"/>
    <w:rsid w:val="0080020F"/>
    <w:rsid w:val="0080218E"/>
    <w:rsid w:val="008025C3"/>
    <w:rsid w:val="00804C43"/>
    <w:rsid w:val="00805109"/>
    <w:rsid w:val="008051FE"/>
    <w:rsid w:val="008060B0"/>
    <w:rsid w:val="0080654C"/>
    <w:rsid w:val="008067EE"/>
    <w:rsid w:val="008071C6"/>
    <w:rsid w:val="008077FF"/>
    <w:rsid w:val="008079FA"/>
    <w:rsid w:val="0081010C"/>
    <w:rsid w:val="008108B3"/>
    <w:rsid w:val="00812090"/>
    <w:rsid w:val="00812AAA"/>
    <w:rsid w:val="00813137"/>
    <w:rsid w:val="00813C95"/>
    <w:rsid w:val="00813D32"/>
    <w:rsid w:val="00814ED1"/>
    <w:rsid w:val="0081581E"/>
    <w:rsid w:val="0081606F"/>
    <w:rsid w:val="008162AE"/>
    <w:rsid w:val="0081670D"/>
    <w:rsid w:val="00817A00"/>
    <w:rsid w:val="00821231"/>
    <w:rsid w:val="00821D30"/>
    <w:rsid w:val="00822812"/>
    <w:rsid w:val="00822BD4"/>
    <w:rsid w:val="00823637"/>
    <w:rsid w:val="00823EE0"/>
    <w:rsid w:val="00823F3D"/>
    <w:rsid w:val="008247AA"/>
    <w:rsid w:val="00824FEE"/>
    <w:rsid w:val="00827AC3"/>
    <w:rsid w:val="00827C57"/>
    <w:rsid w:val="008317FE"/>
    <w:rsid w:val="00831F5B"/>
    <w:rsid w:val="008350F2"/>
    <w:rsid w:val="00835DB3"/>
    <w:rsid w:val="0083617B"/>
    <w:rsid w:val="008362D3"/>
    <w:rsid w:val="00836F32"/>
    <w:rsid w:val="008371BD"/>
    <w:rsid w:val="008408CD"/>
    <w:rsid w:val="00841DAE"/>
    <w:rsid w:val="008427F9"/>
    <w:rsid w:val="0084326C"/>
    <w:rsid w:val="00843304"/>
    <w:rsid w:val="00844C40"/>
    <w:rsid w:val="008462A9"/>
    <w:rsid w:val="0084794F"/>
    <w:rsid w:val="008504A8"/>
    <w:rsid w:val="0085075C"/>
    <w:rsid w:val="00850C3D"/>
    <w:rsid w:val="00851FDE"/>
    <w:rsid w:val="00851FF4"/>
    <w:rsid w:val="0085282E"/>
    <w:rsid w:val="008539E5"/>
    <w:rsid w:val="0085436B"/>
    <w:rsid w:val="00854788"/>
    <w:rsid w:val="00854EF8"/>
    <w:rsid w:val="00856AD3"/>
    <w:rsid w:val="00857106"/>
    <w:rsid w:val="00861364"/>
    <w:rsid w:val="00861F15"/>
    <w:rsid w:val="00862F57"/>
    <w:rsid w:val="0086391C"/>
    <w:rsid w:val="00864D32"/>
    <w:rsid w:val="0086584E"/>
    <w:rsid w:val="0086758E"/>
    <w:rsid w:val="00870534"/>
    <w:rsid w:val="00870581"/>
    <w:rsid w:val="00870A5E"/>
    <w:rsid w:val="00870BED"/>
    <w:rsid w:val="0087198C"/>
    <w:rsid w:val="00872593"/>
    <w:rsid w:val="00872C1F"/>
    <w:rsid w:val="00873138"/>
    <w:rsid w:val="008738DF"/>
    <w:rsid w:val="00873B42"/>
    <w:rsid w:val="00875A19"/>
    <w:rsid w:val="00875E31"/>
    <w:rsid w:val="008760C1"/>
    <w:rsid w:val="00877219"/>
    <w:rsid w:val="00877E0C"/>
    <w:rsid w:val="008808B8"/>
    <w:rsid w:val="0088165A"/>
    <w:rsid w:val="00883A9A"/>
    <w:rsid w:val="00883F6B"/>
    <w:rsid w:val="008856D8"/>
    <w:rsid w:val="008863BF"/>
    <w:rsid w:val="008863CA"/>
    <w:rsid w:val="00886660"/>
    <w:rsid w:val="0088772E"/>
    <w:rsid w:val="0089082D"/>
    <w:rsid w:val="00892E82"/>
    <w:rsid w:val="00893EF9"/>
    <w:rsid w:val="00895D3F"/>
    <w:rsid w:val="00896A30"/>
    <w:rsid w:val="008970FF"/>
    <w:rsid w:val="008A0665"/>
    <w:rsid w:val="008A1E40"/>
    <w:rsid w:val="008A281D"/>
    <w:rsid w:val="008A3D7D"/>
    <w:rsid w:val="008A4C10"/>
    <w:rsid w:val="008A54F8"/>
    <w:rsid w:val="008A5FC2"/>
    <w:rsid w:val="008A62D6"/>
    <w:rsid w:val="008A6AC0"/>
    <w:rsid w:val="008A6B89"/>
    <w:rsid w:val="008B0160"/>
    <w:rsid w:val="008B1844"/>
    <w:rsid w:val="008B29AC"/>
    <w:rsid w:val="008B33F2"/>
    <w:rsid w:val="008B40DD"/>
    <w:rsid w:val="008B4608"/>
    <w:rsid w:val="008B5670"/>
    <w:rsid w:val="008B56DC"/>
    <w:rsid w:val="008B6B3C"/>
    <w:rsid w:val="008B756B"/>
    <w:rsid w:val="008C1861"/>
    <w:rsid w:val="008C1B58"/>
    <w:rsid w:val="008C35C7"/>
    <w:rsid w:val="008C39AE"/>
    <w:rsid w:val="008C449D"/>
    <w:rsid w:val="008C488C"/>
    <w:rsid w:val="008C4A5B"/>
    <w:rsid w:val="008C4C8F"/>
    <w:rsid w:val="008C559D"/>
    <w:rsid w:val="008C56FD"/>
    <w:rsid w:val="008C5892"/>
    <w:rsid w:val="008C590D"/>
    <w:rsid w:val="008C5C7D"/>
    <w:rsid w:val="008C7242"/>
    <w:rsid w:val="008C75A7"/>
    <w:rsid w:val="008C7E5A"/>
    <w:rsid w:val="008D165C"/>
    <w:rsid w:val="008D3D26"/>
    <w:rsid w:val="008D489F"/>
    <w:rsid w:val="008D49FE"/>
    <w:rsid w:val="008D715C"/>
    <w:rsid w:val="008D7500"/>
    <w:rsid w:val="008E031B"/>
    <w:rsid w:val="008E2385"/>
    <w:rsid w:val="008E23B4"/>
    <w:rsid w:val="008E3A02"/>
    <w:rsid w:val="008E428B"/>
    <w:rsid w:val="008E54B7"/>
    <w:rsid w:val="008E5C45"/>
    <w:rsid w:val="008E7029"/>
    <w:rsid w:val="008E7EF6"/>
    <w:rsid w:val="008F1F98"/>
    <w:rsid w:val="008F43E4"/>
    <w:rsid w:val="008F6758"/>
    <w:rsid w:val="0090031D"/>
    <w:rsid w:val="00900944"/>
    <w:rsid w:val="00903D4E"/>
    <w:rsid w:val="009040DD"/>
    <w:rsid w:val="00904469"/>
    <w:rsid w:val="009054DB"/>
    <w:rsid w:val="00905B47"/>
    <w:rsid w:val="00905B69"/>
    <w:rsid w:val="009061B6"/>
    <w:rsid w:val="009067A4"/>
    <w:rsid w:val="00906B28"/>
    <w:rsid w:val="0090724B"/>
    <w:rsid w:val="00907351"/>
    <w:rsid w:val="00907DD0"/>
    <w:rsid w:val="0091020F"/>
    <w:rsid w:val="0091331C"/>
    <w:rsid w:val="0091372D"/>
    <w:rsid w:val="00914F6E"/>
    <w:rsid w:val="00916D69"/>
    <w:rsid w:val="009174B8"/>
    <w:rsid w:val="0091773E"/>
    <w:rsid w:val="00917CDD"/>
    <w:rsid w:val="00920646"/>
    <w:rsid w:val="009207F9"/>
    <w:rsid w:val="00920D4F"/>
    <w:rsid w:val="00920EA2"/>
    <w:rsid w:val="00922084"/>
    <w:rsid w:val="0092311F"/>
    <w:rsid w:val="009251F3"/>
    <w:rsid w:val="009253E0"/>
    <w:rsid w:val="009267F3"/>
    <w:rsid w:val="00926D2C"/>
    <w:rsid w:val="00926F41"/>
    <w:rsid w:val="0092717C"/>
    <w:rsid w:val="009279DE"/>
    <w:rsid w:val="00930116"/>
    <w:rsid w:val="0093017C"/>
    <w:rsid w:val="00931343"/>
    <w:rsid w:val="009329C1"/>
    <w:rsid w:val="00933255"/>
    <w:rsid w:val="0093433D"/>
    <w:rsid w:val="00934AFB"/>
    <w:rsid w:val="0093650E"/>
    <w:rsid w:val="00936E17"/>
    <w:rsid w:val="009414D2"/>
    <w:rsid w:val="00941D2E"/>
    <w:rsid w:val="0094212C"/>
    <w:rsid w:val="00942916"/>
    <w:rsid w:val="00942CDD"/>
    <w:rsid w:val="009442B4"/>
    <w:rsid w:val="009447F7"/>
    <w:rsid w:val="00945C58"/>
    <w:rsid w:val="00950227"/>
    <w:rsid w:val="009513F9"/>
    <w:rsid w:val="00951DF9"/>
    <w:rsid w:val="00951E8A"/>
    <w:rsid w:val="0095252F"/>
    <w:rsid w:val="00953181"/>
    <w:rsid w:val="0095429C"/>
    <w:rsid w:val="00954386"/>
    <w:rsid w:val="00954689"/>
    <w:rsid w:val="009557CF"/>
    <w:rsid w:val="00955BB2"/>
    <w:rsid w:val="00956C32"/>
    <w:rsid w:val="009574B2"/>
    <w:rsid w:val="0096093C"/>
    <w:rsid w:val="009609A0"/>
    <w:rsid w:val="00960A5C"/>
    <w:rsid w:val="009617C9"/>
    <w:rsid w:val="00961C93"/>
    <w:rsid w:val="00961FB7"/>
    <w:rsid w:val="00962937"/>
    <w:rsid w:val="0096318F"/>
    <w:rsid w:val="00963C27"/>
    <w:rsid w:val="00964108"/>
    <w:rsid w:val="00964B5C"/>
    <w:rsid w:val="00965071"/>
    <w:rsid w:val="00965157"/>
    <w:rsid w:val="00965324"/>
    <w:rsid w:val="00966275"/>
    <w:rsid w:val="00966337"/>
    <w:rsid w:val="009671E0"/>
    <w:rsid w:val="00967657"/>
    <w:rsid w:val="00967DBB"/>
    <w:rsid w:val="0097091E"/>
    <w:rsid w:val="00970D3B"/>
    <w:rsid w:val="00971337"/>
    <w:rsid w:val="00971A35"/>
    <w:rsid w:val="00973BE4"/>
    <w:rsid w:val="00974BE3"/>
    <w:rsid w:val="009752B7"/>
    <w:rsid w:val="00975D85"/>
    <w:rsid w:val="009760D3"/>
    <w:rsid w:val="00976701"/>
    <w:rsid w:val="00976C2B"/>
    <w:rsid w:val="00976FD6"/>
    <w:rsid w:val="00977132"/>
    <w:rsid w:val="009775F2"/>
    <w:rsid w:val="009803B2"/>
    <w:rsid w:val="00981A4B"/>
    <w:rsid w:val="00982501"/>
    <w:rsid w:val="009825E1"/>
    <w:rsid w:val="00983B9A"/>
    <w:rsid w:val="00985BDC"/>
    <w:rsid w:val="009860C2"/>
    <w:rsid w:val="009877D3"/>
    <w:rsid w:val="00987C2A"/>
    <w:rsid w:val="009901BA"/>
    <w:rsid w:val="00990D71"/>
    <w:rsid w:val="0099151E"/>
    <w:rsid w:val="00991D0B"/>
    <w:rsid w:val="00991F46"/>
    <w:rsid w:val="00992197"/>
    <w:rsid w:val="0099290C"/>
    <w:rsid w:val="00992DE4"/>
    <w:rsid w:val="0099301E"/>
    <w:rsid w:val="00993352"/>
    <w:rsid w:val="009936A1"/>
    <w:rsid w:val="00994E8F"/>
    <w:rsid w:val="009951DC"/>
    <w:rsid w:val="009954FB"/>
    <w:rsid w:val="009959BB"/>
    <w:rsid w:val="00997158"/>
    <w:rsid w:val="00997F2D"/>
    <w:rsid w:val="009A0BBD"/>
    <w:rsid w:val="009A3A66"/>
    <w:rsid w:val="009A3A7C"/>
    <w:rsid w:val="009A4784"/>
    <w:rsid w:val="009A5AFA"/>
    <w:rsid w:val="009B00F4"/>
    <w:rsid w:val="009B0DD9"/>
    <w:rsid w:val="009B1659"/>
    <w:rsid w:val="009B28F1"/>
    <w:rsid w:val="009B2ADB"/>
    <w:rsid w:val="009B428E"/>
    <w:rsid w:val="009B45D8"/>
    <w:rsid w:val="009B603A"/>
    <w:rsid w:val="009B6424"/>
    <w:rsid w:val="009B6B38"/>
    <w:rsid w:val="009B7138"/>
    <w:rsid w:val="009B796A"/>
    <w:rsid w:val="009B7FD7"/>
    <w:rsid w:val="009C000B"/>
    <w:rsid w:val="009C0CCF"/>
    <w:rsid w:val="009C1578"/>
    <w:rsid w:val="009C1B1A"/>
    <w:rsid w:val="009C1CAB"/>
    <w:rsid w:val="009C1FBA"/>
    <w:rsid w:val="009C20D9"/>
    <w:rsid w:val="009C282E"/>
    <w:rsid w:val="009C2D0E"/>
    <w:rsid w:val="009C357C"/>
    <w:rsid w:val="009C3DAC"/>
    <w:rsid w:val="009C403A"/>
    <w:rsid w:val="009C42E0"/>
    <w:rsid w:val="009C4FCF"/>
    <w:rsid w:val="009C5E62"/>
    <w:rsid w:val="009C6530"/>
    <w:rsid w:val="009C6AAA"/>
    <w:rsid w:val="009C6C3F"/>
    <w:rsid w:val="009C73B9"/>
    <w:rsid w:val="009C7EFD"/>
    <w:rsid w:val="009D0C2F"/>
    <w:rsid w:val="009D0D7F"/>
    <w:rsid w:val="009D0EE2"/>
    <w:rsid w:val="009D13E2"/>
    <w:rsid w:val="009D24DC"/>
    <w:rsid w:val="009D2AA8"/>
    <w:rsid w:val="009D2C06"/>
    <w:rsid w:val="009D3305"/>
    <w:rsid w:val="009D4524"/>
    <w:rsid w:val="009D48CE"/>
    <w:rsid w:val="009D5362"/>
    <w:rsid w:val="009D5E84"/>
    <w:rsid w:val="009D6AC3"/>
    <w:rsid w:val="009D72F8"/>
    <w:rsid w:val="009D798A"/>
    <w:rsid w:val="009E0B4A"/>
    <w:rsid w:val="009E1415"/>
    <w:rsid w:val="009E198A"/>
    <w:rsid w:val="009E1D9C"/>
    <w:rsid w:val="009E20D2"/>
    <w:rsid w:val="009E2218"/>
    <w:rsid w:val="009E285D"/>
    <w:rsid w:val="009E2DDB"/>
    <w:rsid w:val="009E3638"/>
    <w:rsid w:val="009E3A08"/>
    <w:rsid w:val="009E3B46"/>
    <w:rsid w:val="009E3F63"/>
    <w:rsid w:val="009E4763"/>
    <w:rsid w:val="009E4AF2"/>
    <w:rsid w:val="009E5B25"/>
    <w:rsid w:val="009E5D84"/>
    <w:rsid w:val="009E606A"/>
    <w:rsid w:val="009E6116"/>
    <w:rsid w:val="009E6686"/>
    <w:rsid w:val="009E684D"/>
    <w:rsid w:val="009E6880"/>
    <w:rsid w:val="009E79DF"/>
    <w:rsid w:val="009F0486"/>
    <w:rsid w:val="009F0F69"/>
    <w:rsid w:val="009F2062"/>
    <w:rsid w:val="009F2B68"/>
    <w:rsid w:val="009F2EF0"/>
    <w:rsid w:val="009F3E47"/>
    <w:rsid w:val="009F455D"/>
    <w:rsid w:val="009F5C4D"/>
    <w:rsid w:val="009F600D"/>
    <w:rsid w:val="009F68EC"/>
    <w:rsid w:val="009F7819"/>
    <w:rsid w:val="009F7E81"/>
    <w:rsid w:val="009F7E88"/>
    <w:rsid w:val="00A00737"/>
    <w:rsid w:val="00A0140F"/>
    <w:rsid w:val="00A02386"/>
    <w:rsid w:val="00A02E43"/>
    <w:rsid w:val="00A0376C"/>
    <w:rsid w:val="00A046F3"/>
    <w:rsid w:val="00A048B4"/>
    <w:rsid w:val="00A04D04"/>
    <w:rsid w:val="00A05BAA"/>
    <w:rsid w:val="00A065F9"/>
    <w:rsid w:val="00A07F34"/>
    <w:rsid w:val="00A1319E"/>
    <w:rsid w:val="00A14522"/>
    <w:rsid w:val="00A14F0C"/>
    <w:rsid w:val="00A154B0"/>
    <w:rsid w:val="00A159E8"/>
    <w:rsid w:val="00A15AE8"/>
    <w:rsid w:val="00A16921"/>
    <w:rsid w:val="00A16B5E"/>
    <w:rsid w:val="00A2113A"/>
    <w:rsid w:val="00A21214"/>
    <w:rsid w:val="00A22154"/>
    <w:rsid w:val="00A222F0"/>
    <w:rsid w:val="00A225E7"/>
    <w:rsid w:val="00A22EA4"/>
    <w:rsid w:val="00A2300A"/>
    <w:rsid w:val="00A238FD"/>
    <w:rsid w:val="00A240D4"/>
    <w:rsid w:val="00A2497D"/>
    <w:rsid w:val="00A24AB5"/>
    <w:rsid w:val="00A259A6"/>
    <w:rsid w:val="00A25C38"/>
    <w:rsid w:val="00A25C80"/>
    <w:rsid w:val="00A2666A"/>
    <w:rsid w:val="00A26D64"/>
    <w:rsid w:val="00A26E8A"/>
    <w:rsid w:val="00A27101"/>
    <w:rsid w:val="00A27109"/>
    <w:rsid w:val="00A27FE4"/>
    <w:rsid w:val="00A30593"/>
    <w:rsid w:val="00A30AE8"/>
    <w:rsid w:val="00A31162"/>
    <w:rsid w:val="00A318C0"/>
    <w:rsid w:val="00A318F0"/>
    <w:rsid w:val="00A31E2F"/>
    <w:rsid w:val="00A33247"/>
    <w:rsid w:val="00A33AAD"/>
    <w:rsid w:val="00A33C5B"/>
    <w:rsid w:val="00A33CD4"/>
    <w:rsid w:val="00A33F72"/>
    <w:rsid w:val="00A3420E"/>
    <w:rsid w:val="00A344A1"/>
    <w:rsid w:val="00A3562E"/>
    <w:rsid w:val="00A36BBE"/>
    <w:rsid w:val="00A37188"/>
    <w:rsid w:val="00A371A5"/>
    <w:rsid w:val="00A40962"/>
    <w:rsid w:val="00A40F16"/>
    <w:rsid w:val="00A41E5B"/>
    <w:rsid w:val="00A42763"/>
    <w:rsid w:val="00A42779"/>
    <w:rsid w:val="00A42CEE"/>
    <w:rsid w:val="00A4307A"/>
    <w:rsid w:val="00A44A80"/>
    <w:rsid w:val="00A44B93"/>
    <w:rsid w:val="00A4560F"/>
    <w:rsid w:val="00A4603E"/>
    <w:rsid w:val="00A4671B"/>
    <w:rsid w:val="00A46B1C"/>
    <w:rsid w:val="00A46C0D"/>
    <w:rsid w:val="00A473A3"/>
    <w:rsid w:val="00A479F9"/>
    <w:rsid w:val="00A47EBB"/>
    <w:rsid w:val="00A511F6"/>
    <w:rsid w:val="00A5199F"/>
    <w:rsid w:val="00A51CDD"/>
    <w:rsid w:val="00A5285E"/>
    <w:rsid w:val="00A539CE"/>
    <w:rsid w:val="00A53FEE"/>
    <w:rsid w:val="00A542A4"/>
    <w:rsid w:val="00A55213"/>
    <w:rsid w:val="00A560E5"/>
    <w:rsid w:val="00A56450"/>
    <w:rsid w:val="00A57683"/>
    <w:rsid w:val="00A6070D"/>
    <w:rsid w:val="00A60712"/>
    <w:rsid w:val="00A60C23"/>
    <w:rsid w:val="00A61B3D"/>
    <w:rsid w:val="00A61B57"/>
    <w:rsid w:val="00A61FBA"/>
    <w:rsid w:val="00A63A0F"/>
    <w:rsid w:val="00A63D1F"/>
    <w:rsid w:val="00A63DF5"/>
    <w:rsid w:val="00A6506E"/>
    <w:rsid w:val="00A65F04"/>
    <w:rsid w:val="00A66B22"/>
    <w:rsid w:val="00A6730D"/>
    <w:rsid w:val="00A70609"/>
    <w:rsid w:val="00A71069"/>
    <w:rsid w:val="00A71625"/>
    <w:rsid w:val="00A71B9B"/>
    <w:rsid w:val="00A71F04"/>
    <w:rsid w:val="00A722FA"/>
    <w:rsid w:val="00A72821"/>
    <w:rsid w:val="00A72BC2"/>
    <w:rsid w:val="00A731EE"/>
    <w:rsid w:val="00A73255"/>
    <w:rsid w:val="00A73D69"/>
    <w:rsid w:val="00A74F0D"/>
    <w:rsid w:val="00A751C7"/>
    <w:rsid w:val="00A75DAA"/>
    <w:rsid w:val="00A76399"/>
    <w:rsid w:val="00A80255"/>
    <w:rsid w:val="00A8093E"/>
    <w:rsid w:val="00A809C4"/>
    <w:rsid w:val="00A80D31"/>
    <w:rsid w:val="00A8365C"/>
    <w:rsid w:val="00A849E5"/>
    <w:rsid w:val="00A85C61"/>
    <w:rsid w:val="00A874AC"/>
    <w:rsid w:val="00A87844"/>
    <w:rsid w:val="00A87F3B"/>
    <w:rsid w:val="00A904D2"/>
    <w:rsid w:val="00A91350"/>
    <w:rsid w:val="00A91712"/>
    <w:rsid w:val="00A91BA4"/>
    <w:rsid w:val="00A925D7"/>
    <w:rsid w:val="00A92DD3"/>
    <w:rsid w:val="00A93517"/>
    <w:rsid w:val="00A93955"/>
    <w:rsid w:val="00A93A38"/>
    <w:rsid w:val="00A93BE1"/>
    <w:rsid w:val="00A9424F"/>
    <w:rsid w:val="00A9514F"/>
    <w:rsid w:val="00A96DAB"/>
    <w:rsid w:val="00A97950"/>
    <w:rsid w:val="00A97A28"/>
    <w:rsid w:val="00AA038C"/>
    <w:rsid w:val="00AA0ECB"/>
    <w:rsid w:val="00AA16BD"/>
    <w:rsid w:val="00AA1856"/>
    <w:rsid w:val="00AA20F6"/>
    <w:rsid w:val="00AA3D04"/>
    <w:rsid w:val="00AA4ADB"/>
    <w:rsid w:val="00AA5071"/>
    <w:rsid w:val="00AA614A"/>
    <w:rsid w:val="00AA64F6"/>
    <w:rsid w:val="00AA6543"/>
    <w:rsid w:val="00AA7A09"/>
    <w:rsid w:val="00AA7DCE"/>
    <w:rsid w:val="00AB05DB"/>
    <w:rsid w:val="00AB15A4"/>
    <w:rsid w:val="00AB259A"/>
    <w:rsid w:val="00AB3190"/>
    <w:rsid w:val="00AB3B50"/>
    <w:rsid w:val="00AB3C54"/>
    <w:rsid w:val="00AB3E9B"/>
    <w:rsid w:val="00AB4654"/>
    <w:rsid w:val="00AB4A2B"/>
    <w:rsid w:val="00AB63BB"/>
    <w:rsid w:val="00AB662C"/>
    <w:rsid w:val="00AB6B20"/>
    <w:rsid w:val="00AC02AC"/>
    <w:rsid w:val="00AC05B1"/>
    <w:rsid w:val="00AC1120"/>
    <w:rsid w:val="00AC4580"/>
    <w:rsid w:val="00AC4A20"/>
    <w:rsid w:val="00AC4E1D"/>
    <w:rsid w:val="00AC4EA1"/>
    <w:rsid w:val="00AC5623"/>
    <w:rsid w:val="00AC59EC"/>
    <w:rsid w:val="00AC5E35"/>
    <w:rsid w:val="00AC64FA"/>
    <w:rsid w:val="00AC6F56"/>
    <w:rsid w:val="00AD001A"/>
    <w:rsid w:val="00AD019C"/>
    <w:rsid w:val="00AD06BC"/>
    <w:rsid w:val="00AD0CFA"/>
    <w:rsid w:val="00AD0D6D"/>
    <w:rsid w:val="00AD0F27"/>
    <w:rsid w:val="00AD1273"/>
    <w:rsid w:val="00AD23FD"/>
    <w:rsid w:val="00AD356C"/>
    <w:rsid w:val="00AD379C"/>
    <w:rsid w:val="00AD39BA"/>
    <w:rsid w:val="00AD4414"/>
    <w:rsid w:val="00AD4693"/>
    <w:rsid w:val="00AD4733"/>
    <w:rsid w:val="00AD4E81"/>
    <w:rsid w:val="00AD5CCB"/>
    <w:rsid w:val="00AD6223"/>
    <w:rsid w:val="00AD72DD"/>
    <w:rsid w:val="00AD7745"/>
    <w:rsid w:val="00AE0550"/>
    <w:rsid w:val="00AE0BCB"/>
    <w:rsid w:val="00AE11E4"/>
    <w:rsid w:val="00AE24D6"/>
    <w:rsid w:val="00AE2914"/>
    <w:rsid w:val="00AE2E25"/>
    <w:rsid w:val="00AE339C"/>
    <w:rsid w:val="00AE44AB"/>
    <w:rsid w:val="00AE57AD"/>
    <w:rsid w:val="00AE6131"/>
    <w:rsid w:val="00AE6AAA"/>
    <w:rsid w:val="00AE6D15"/>
    <w:rsid w:val="00AE78EE"/>
    <w:rsid w:val="00AF0596"/>
    <w:rsid w:val="00AF0DC9"/>
    <w:rsid w:val="00AF190B"/>
    <w:rsid w:val="00AF217D"/>
    <w:rsid w:val="00AF2795"/>
    <w:rsid w:val="00AF2A0B"/>
    <w:rsid w:val="00AF32B3"/>
    <w:rsid w:val="00AF4C74"/>
    <w:rsid w:val="00AF5CF3"/>
    <w:rsid w:val="00AF6546"/>
    <w:rsid w:val="00AF71C6"/>
    <w:rsid w:val="00AF7D49"/>
    <w:rsid w:val="00B00B0E"/>
    <w:rsid w:val="00B033FA"/>
    <w:rsid w:val="00B04182"/>
    <w:rsid w:val="00B042A5"/>
    <w:rsid w:val="00B04938"/>
    <w:rsid w:val="00B04A11"/>
    <w:rsid w:val="00B0655F"/>
    <w:rsid w:val="00B07077"/>
    <w:rsid w:val="00B07583"/>
    <w:rsid w:val="00B07AE3"/>
    <w:rsid w:val="00B10FCA"/>
    <w:rsid w:val="00B11430"/>
    <w:rsid w:val="00B1351A"/>
    <w:rsid w:val="00B13758"/>
    <w:rsid w:val="00B1500B"/>
    <w:rsid w:val="00B1502D"/>
    <w:rsid w:val="00B16350"/>
    <w:rsid w:val="00B163B6"/>
    <w:rsid w:val="00B168DD"/>
    <w:rsid w:val="00B207FE"/>
    <w:rsid w:val="00B22270"/>
    <w:rsid w:val="00B2275A"/>
    <w:rsid w:val="00B22D85"/>
    <w:rsid w:val="00B241BD"/>
    <w:rsid w:val="00B265AE"/>
    <w:rsid w:val="00B27555"/>
    <w:rsid w:val="00B3156D"/>
    <w:rsid w:val="00B31F9D"/>
    <w:rsid w:val="00B32EB3"/>
    <w:rsid w:val="00B33725"/>
    <w:rsid w:val="00B343FC"/>
    <w:rsid w:val="00B343FD"/>
    <w:rsid w:val="00B344DD"/>
    <w:rsid w:val="00B353EB"/>
    <w:rsid w:val="00B35552"/>
    <w:rsid w:val="00B35A83"/>
    <w:rsid w:val="00B360A0"/>
    <w:rsid w:val="00B36C51"/>
    <w:rsid w:val="00B37507"/>
    <w:rsid w:val="00B37DC8"/>
    <w:rsid w:val="00B40357"/>
    <w:rsid w:val="00B40790"/>
    <w:rsid w:val="00B40DC0"/>
    <w:rsid w:val="00B4169D"/>
    <w:rsid w:val="00B41821"/>
    <w:rsid w:val="00B42923"/>
    <w:rsid w:val="00B431FF"/>
    <w:rsid w:val="00B439C4"/>
    <w:rsid w:val="00B43A58"/>
    <w:rsid w:val="00B4479C"/>
    <w:rsid w:val="00B4535E"/>
    <w:rsid w:val="00B457F7"/>
    <w:rsid w:val="00B45C52"/>
    <w:rsid w:val="00B464B6"/>
    <w:rsid w:val="00B46D63"/>
    <w:rsid w:val="00B47288"/>
    <w:rsid w:val="00B47394"/>
    <w:rsid w:val="00B476E2"/>
    <w:rsid w:val="00B47D83"/>
    <w:rsid w:val="00B47FA4"/>
    <w:rsid w:val="00B503BC"/>
    <w:rsid w:val="00B51003"/>
    <w:rsid w:val="00B512E8"/>
    <w:rsid w:val="00B52A8C"/>
    <w:rsid w:val="00B53E3D"/>
    <w:rsid w:val="00B560A3"/>
    <w:rsid w:val="00B56194"/>
    <w:rsid w:val="00B60836"/>
    <w:rsid w:val="00B6328E"/>
    <w:rsid w:val="00B636A8"/>
    <w:rsid w:val="00B63B49"/>
    <w:rsid w:val="00B646E9"/>
    <w:rsid w:val="00B65CCA"/>
    <w:rsid w:val="00B6607D"/>
    <w:rsid w:val="00B66263"/>
    <w:rsid w:val="00B665C6"/>
    <w:rsid w:val="00B70110"/>
    <w:rsid w:val="00B70844"/>
    <w:rsid w:val="00B7117F"/>
    <w:rsid w:val="00B71408"/>
    <w:rsid w:val="00B716EB"/>
    <w:rsid w:val="00B721AF"/>
    <w:rsid w:val="00B72808"/>
    <w:rsid w:val="00B739F9"/>
    <w:rsid w:val="00B74273"/>
    <w:rsid w:val="00B76348"/>
    <w:rsid w:val="00B7754C"/>
    <w:rsid w:val="00B77B7F"/>
    <w:rsid w:val="00B802B0"/>
    <w:rsid w:val="00B80419"/>
    <w:rsid w:val="00B805AF"/>
    <w:rsid w:val="00B812E8"/>
    <w:rsid w:val="00B819B3"/>
    <w:rsid w:val="00B81ACB"/>
    <w:rsid w:val="00B8259B"/>
    <w:rsid w:val="00B82989"/>
    <w:rsid w:val="00B82C27"/>
    <w:rsid w:val="00B82E02"/>
    <w:rsid w:val="00B831E2"/>
    <w:rsid w:val="00B8401C"/>
    <w:rsid w:val="00B84989"/>
    <w:rsid w:val="00B869EC"/>
    <w:rsid w:val="00B86F18"/>
    <w:rsid w:val="00B87D83"/>
    <w:rsid w:val="00B900EE"/>
    <w:rsid w:val="00B91BFD"/>
    <w:rsid w:val="00B933D6"/>
    <w:rsid w:val="00B936A7"/>
    <w:rsid w:val="00B9397A"/>
    <w:rsid w:val="00B9433F"/>
    <w:rsid w:val="00B94DE1"/>
    <w:rsid w:val="00B953B1"/>
    <w:rsid w:val="00B9590E"/>
    <w:rsid w:val="00B96205"/>
    <w:rsid w:val="00B9633D"/>
    <w:rsid w:val="00B97EA2"/>
    <w:rsid w:val="00BA154D"/>
    <w:rsid w:val="00BA1692"/>
    <w:rsid w:val="00BA1923"/>
    <w:rsid w:val="00BA1C4E"/>
    <w:rsid w:val="00BA2BE9"/>
    <w:rsid w:val="00BA2EBE"/>
    <w:rsid w:val="00BA35C0"/>
    <w:rsid w:val="00BA4257"/>
    <w:rsid w:val="00BA4C21"/>
    <w:rsid w:val="00BA5C58"/>
    <w:rsid w:val="00BA63CE"/>
    <w:rsid w:val="00BA656E"/>
    <w:rsid w:val="00BA6EB6"/>
    <w:rsid w:val="00BA7177"/>
    <w:rsid w:val="00BA7643"/>
    <w:rsid w:val="00BA7A5E"/>
    <w:rsid w:val="00BA7D4E"/>
    <w:rsid w:val="00BB0F28"/>
    <w:rsid w:val="00BB1F14"/>
    <w:rsid w:val="00BB20FA"/>
    <w:rsid w:val="00BB3E68"/>
    <w:rsid w:val="00BB4454"/>
    <w:rsid w:val="00BB458A"/>
    <w:rsid w:val="00BB45F5"/>
    <w:rsid w:val="00BB5934"/>
    <w:rsid w:val="00BB7125"/>
    <w:rsid w:val="00BB7249"/>
    <w:rsid w:val="00BB732C"/>
    <w:rsid w:val="00BB7426"/>
    <w:rsid w:val="00BB7727"/>
    <w:rsid w:val="00BC0C72"/>
    <w:rsid w:val="00BC27CD"/>
    <w:rsid w:val="00BC29DE"/>
    <w:rsid w:val="00BC2AF0"/>
    <w:rsid w:val="00BC4B4A"/>
    <w:rsid w:val="00BC4C35"/>
    <w:rsid w:val="00BC52A6"/>
    <w:rsid w:val="00BC52D7"/>
    <w:rsid w:val="00BC7458"/>
    <w:rsid w:val="00BD00D3"/>
    <w:rsid w:val="00BD0438"/>
    <w:rsid w:val="00BD0EB2"/>
    <w:rsid w:val="00BD150B"/>
    <w:rsid w:val="00BD1659"/>
    <w:rsid w:val="00BD173A"/>
    <w:rsid w:val="00BD1A76"/>
    <w:rsid w:val="00BD2598"/>
    <w:rsid w:val="00BD3AA9"/>
    <w:rsid w:val="00BD3F86"/>
    <w:rsid w:val="00BD466B"/>
    <w:rsid w:val="00BD4A18"/>
    <w:rsid w:val="00BD515B"/>
    <w:rsid w:val="00BD66B9"/>
    <w:rsid w:val="00BD6A36"/>
    <w:rsid w:val="00BD6DB2"/>
    <w:rsid w:val="00BD7439"/>
    <w:rsid w:val="00BD765F"/>
    <w:rsid w:val="00BE0539"/>
    <w:rsid w:val="00BE0808"/>
    <w:rsid w:val="00BE0E3B"/>
    <w:rsid w:val="00BE0F89"/>
    <w:rsid w:val="00BE11CF"/>
    <w:rsid w:val="00BE21AB"/>
    <w:rsid w:val="00BE2AB4"/>
    <w:rsid w:val="00BE385C"/>
    <w:rsid w:val="00BE3A4D"/>
    <w:rsid w:val="00BE3FA2"/>
    <w:rsid w:val="00BE44AE"/>
    <w:rsid w:val="00BE55CB"/>
    <w:rsid w:val="00BE5DA3"/>
    <w:rsid w:val="00BE733B"/>
    <w:rsid w:val="00BF154D"/>
    <w:rsid w:val="00BF2244"/>
    <w:rsid w:val="00BF28E7"/>
    <w:rsid w:val="00BF3EB6"/>
    <w:rsid w:val="00BF423F"/>
    <w:rsid w:val="00BF525E"/>
    <w:rsid w:val="00BF617A"/>
    <w:rsid w:val="00BF6D1A"/>
    <w:rsid w:val="00BF7708"/>
    <w:rsid w:val="00C0028D"/>
    <w:rsid w:val="00C01B80"/>
    <w:rsid w:val="00C0379D"/>
    <w:rsid w:val="00C03931"/>
    <w:rsid w:val="00C03BBC"/>
    <w:rsid w:val="00C05084"/>
    <w:rsid w:val="00C05FE3"/>
    <w:rsid w:val="00C0721E"/>
    <w:rsid w:val="00C073FE"/>
    <w:rsid w:val="00C1154A"/>
    <w:rsid w:val="00C11BBC"/>
    <w:rsid w:val="00C11E4C"/>
    <w:rsid w:val="00C13A1B"/>
    <w:rsid w:val="00C13DBB"/>
    <w:rsid w:val="00C14210"/>
    <w:rsid w:val="00C14326"/>
    <w:rsid w:val="00C15CCF"/>
    <w:rsid w:val="00C16C9A"/>
    <w:rsid w:val="00C17CFE"/>
    <w:rsid w:val="00C20332"/>
    <w:rsid w:val="00C2136D"/>
    <w:rsid w:val="00C214EE"/>
    <w:rsid w:val="00C215D4"/>
    <w:rsid w:val="00C2225D"/>
    <w:rsid w:val="00C227EF"/>
    <w:rsid w:val="00C22B51"/>
    <w:rsid w:val="00C22FF4"/>
    <w:rsid w:val="00C2314B"/>
    <w:rsid w:val="00C238F5"/>
    <w:rsid w:val="00C23A38"/>
    <w:rsid w:val="00C24971"/>
    <w:rsid w:val="00C26994"/>
    <w:rsid w:val="00C26BE5"/>
    <w:rsid w:val="00C26E4D"/>
    <w:rsid w:val="00C272AF"/>
    <w:rsid w:val="00C27909"/>
    <w:rsid w:val="00C27B03"/>
    <w:rsid w:val="00C30B91"/>
    <w:rsid w:val="00C314E1"/>
    <w:rsid w:val="00C33E6D"/>
    <w:rsid w:val="00C34247"/>
    <w:rsid w:val="00C34355"/>
    <w:rsid w:val="00C34397"/>
    <w:rsid w:val="00C34B82"/>
    <w:rsid w:val="00C35B81"/>
    <w:rsid w:val="00C35F24"/>
    <w:rsid w:val="00C3683D"/>
    <w:rsid w:val="00C3685C"/>
    <w:rsid w:val="00C37D87"/>
    <w:rsid w:val="00C40280"/>
    <w:rsid w:val="00C408E5"/>
    <w:rsid w:val="00C4095D"/>
    <w:rsid w:val="00C42CE3"/>
    <w:rsid w:val="00C4445F"/>
    <w:rsid w:val="00C45566"/>
    <w:rsid w:val="00C45BB3"/>
    <w:rsid w:val="00C46241"/>
    <w:rsid w:val="00C46C0E"/>
    <w:rsid w:val="00C50FB3"/>
    <w:rsid w:val="00C516B6"/>
    <w:rsid w:val="00C51A3A"/>
    <w:rsid w:val="00C51B0D"/>
    <w:rsid w:val="00C52986"/>
    <w:rsid w:val="00C53257"/>
    <w:rsid w:val="00C55BEB"/>
    <w:rsid w:val="00C601D2"/>
    <w:rsid w:val="00C60C09"/>
    <w:rsid w:val="00C617D4"/>
    <w:rsid w:val="00C6227F"/>
    <w:rsid w:val="00C6284D"/>
    <w:rsid w:val="00C642F4"/>
    <w:rsid w:val="00C64ACE"/>
    <w:rsid w:val="00C658F3"/>
    <w:rsid w:val="00C65BCC"/>
    <w:rsid w:val="00C65EB3"/>
    <w:rsid w:val="00C660E4"/>
    <w:rsid w:val="00C66152"/>
    <w:rsid w:val="00C66265"/>
    <w:rsid w:val="00C666B4"/>
    <w:rsid w:val="00C66970"/>
    <w:rsid w:val="00C67BB6"/>
    <w:rsid w:val="00C7032D"/>
    <w:rsid w:val="00C70BC1"/>
    <w:rsid w:val="00C70FFD"/>
    <w:rsid w:val="00C7109E"/>
    <w:rsid w:val="00C7129B"/>
    <w:rsid w:val="00C714DA"/>
    <w:rsid w:val="00C71E05"/>
    <w:rsid w:val="00C72098"/>
    <w:rsid w:val="00C721E5"/>
    <w:rsid w:val="00C72A00"/>
    <w:rsid w:val="00C72C4B"/>
    <w:rsid w:val="00C72FC7"/>
    <w:rsid w:val="00C731AC"/>
    <w:rsid w:val="00C73C3E"/>
    <w:rsid w:val="00C763FC"/>
    <w:rsid w:val="00C77773"/>
    <w:rsid w:val="00C779A5"/>
    <w:rsid w:val="00C77D22"/>
    <w:rsid w:val="00C77DA4"/>
    <w:rsid w:val="00C80EC8"/>
    <w:rsid w:val="00C8222F"/>
    <w:rsid w:val="00C83285"/>
    <w:rsid w:val="00C83AD4"/>
    <w:rsid w:val="00C84659"/>
    <w:rsid w:val="00C85395"/>
    <w:rsid w:val="00C856CB"/>
    <w:rsid w:val="00C8691C"/>
    <w:rsid w:val="00C87C3E"/>
    <w:rsid w:val="00C9124F"/>
    <w:rsid w:val="00C91C06"/>
    <w:rsid w:val="00C94ADB"/>
    <w:rsid w:val="00C94D04"/>
    <w:rsid w:val="00C963EB"/>
    <w:rsid w:val="00C96FE2"/>
    <w:rsid w:val="00CA03C3"/>
    <w:rsid w:val="00CA168A"/>
    <w:rsid w:val="00CA1775"/>
    <w:rsid w:val="00CA1C4D"/>
    <w:rsid w:val="00CA2B23"/>
    <w:rsid w:val="00CA351D"/>
    <w:rsid w:val="00CA357E"/>
    <w:rsid w:val="00CA3787"/>
    <w:rsid w:val="00CA44F9"/>
    <w:rsid w:val="00CA4A69"/>
    <w:rsid w:val="00CA54BF"/>
    <w:rsid w:val="00CA562B"/>
    <w:rsid w:val="00CA5BDE"/>
    <w:rsid w:val="00CA6DEB"/>
    <w:rsid w:val="00CA77FB"/>
    <w:rsid w:val="00CA7ED2"/>
    <w:rsid w:val="00CB0879"/>
    <w:rsid w:val="00CB0F9E"/>
    <w:rsid w:val="00CB175E"/>
    <w:rsid w:val="00CB2199"/>
    <w:rsid w:val="00CB2D67"/>
    <w:rsid w:val="00CB35F3"/>
    <w:rsid w:val="00CB47BF"/>
    <w:rsid w:val="00CB553C"/>
    <w:rsid w:val="00CB7A53"/>
    <w:rsid w:val="00CC1430"/>
    <w:rsid w:val="00CC1F6F"/>
    <w:rsid w:val="00CC2270"/>
    <w:rsid w:val="00CC282B"/>
    <w:rsid w:val="00CC3018"/>
    <w:rsid w:val="00CC32B7"/>
    <w:rsid w:val="00CC3699"/>
    <w:rsid w:val="00CC3E0C"/>
    <w:rsid w:val="00CC49AA"/>
    <w:rsid w:val="00CC586E"/>
    <w:rsid w:val="00CC58D3"/>
    <w:rsid w:val="00CC5BB6"/>
    <w:rsid w:val="00CC6F64"/>
    <w:rsid w:val="00CC784D"/>
    <w:rsid w:val="00CD0567"/>
    <w:rsid w:val="00CD07F1"/>
    <w:rsid w:val="00CD0890"/>
    <w:rsid w:val="00CD3434"/>
    <w:rsid w:val="00CD3464"/>
    <w:rsid w:val="00CD4292"/>
    <w:rsid w:val="00CD4795"/>
    <w:rsid w:val="00CD4B63"/>
    <w:rsid w:val="00CD4C61"/>
    <w:rsid w:val="00CD5AE3"/>
    <w:rsid w:val="00CD5B89"/>
    <w:rsid w:val="00CD6E24"/>
    <w:rsid w:val="00CD7887"/>
    <w:rsid w:val="00CD79E4"/>
    <w:rsid w:val="00CD7ACD"/>
    <w:rsid w:val="00CE0A65"/>
    <w:rsid w:val="00CE157A"/>
    <w:rsid w:val="00CE2160"/>
    <w:rsid w:val="00CE2CD5"/>
    <w:rsid w:val="00CE30B8"/>
    <w:rsid w:val="00CE3761"/>
    <w:rsid w:val="00CE5F2D"/>
    <w:rsid w:val="00CE600A"/>
    <w:rsid w:val="00CE72FF"/>
    <w:rsid w:val="00CE7321"/>
    <w:rsid w:val="00CE78F6"/>
    <w:rsid w:val="00CE7F70"/>
    <w:rsid w:val="00CF0513"/>
    <w:rsid w:val="00CF0DB8"/>
    <w:rsid w:val="00CF43A3"/>
    <w:rsid w:val="00CF4C4F"/>
    <w:rsid w:val="00CF67EE"/>
    <w:rsid w:val="00D01B3B"/>
    <w:rsid w:val="00D01D69"/>
    <w:rsid w:val="00D025C8"/>
    <w:rsid w:val="00D0337B"/>
    <w:rsid w:val="00D03DB2"/>
    <w:rsid w:val="00D044B6"/>
    <w:rsid w:val="00D0466B"/>
    <w:rsid w:val="00D046BE"/>
    <w:rsid w:val="00D048F8"/>
    <w:rsid w:val="00D04C78"/>
    <w:rsid w:val="00D05CD8"/>
    <w:rsid w:val="00D06C36"/>
    <w:rsid w:val="00D079B2"/>
    <w:rsid w:val="00D104C8"/>
    <w:rsid w:val="00D10F2A"/>
    <w:rsid w:val="00D114E9"/>
    <w:rsid w:val="00D1242E"/>
    <w:rsid w:val="00D13677"/>
    <w:rsid w:val="00D13CE9"/>
    <w:rsid w:val="00D14847"/>
    <w:rsid w:val="00D150AD"/>
    <w:rsid w:val="00D15BDA"/>
    <w:rsid w:val="00D168F1"/>
    <w:rsid w:val="00D16BBF"/>
    <w:rsid w:val="00D213B8"/>
    <w:rsid w:val="00D217EB"/>
    <w:rsid w:val="00D22806"/>
    <w:rsid w:val="00D22FC0"/>
    <w:rsid w:val="00D22FEC"/>
    <w:rsid w:val="00D237F0"/>
    <w:rsid w:val="00D23945"/>
    <w:rsid w:val="00D25482"/>
    <w:rsid w:val="00D25549"/>
    <w:rsid w:val="00D26AB1"/>
    <w:rsid w:val="00D30C59"/>
    <w:rsid w:val="00D31C09"/>
    <w:rsid w:val="00D3210D"/>
    <w:rsid w:val="00D33197"/>
    <w:rsid w:val="00D34059"/>
    <w:rsid w:val="00D34684"/>
    <w:rsid w:val="00D34A4A"/>
    <w:rsid w:val="00D35434"/>
    <w:rsid w:val="00D35540"/>
    <w:rsid w:val="00D36A74"/>
    <w:rsid w:val="00D36C98"/>
    <w:rsid w:val="00D37376"/>
    <w:rsid w:val="00D37C07"/>
    <w:rsid w:val="00D4034E"/>
    <w:rsid w:val="00D40DF2"/>
    <w:rsid w:val="00D41BBF"/>
    <w:rsid w:val="00D41CBD"/>
    <w:rsid w:val="00D429C6"/>
    <w:rsid w:val="00D43508"/>
    <w:rsid w:val="00D44D44"/>
    <w:rsid w:val="00D46969"/>
    <w:rsid w:val="00D46C21"/>
    <w:rsid w:val="00D476F3"/>
    <w:rsid w:val="00D47748"/>
    <w:rsid w:val="00D47D01"/>
    <w:rsid w:val="00D50D22"/>
    <w:rsid w:val="00D51F9A"/>
    <w:rsid w:val="00D52BB8"/>
    <w:rsid w:val="00D544C7"/>
    <w:rsid w:val="00D54CC3"/>
    <w:rsid w:val="00D55746"/>
    <w:rsid w:val="00D56F93"/>
    <w:rsid w:val="00D575F4"/>
    <w:rsid w:val="00D6041A"/>
    <w:rsid w:val="00D610B0"/>
    <w:rsid w:val="00D612C9"/>
    <w:rsid w:val="00D6152F"/>
    <w:rsid w:val="00D61E80"/>
    <w:rsid w:val="00D633EB"/>
    <w:rsid w:val="00D63CE6"/>
    <w:rsid w:val="00D64854"/>
    <w:rsid w:val="00D6751E"/>
    <w:rsid w:val="00D67869"/>
    <w:rsid w:val="00D6793D"/>
    <w:rsid w:val="00D67DBB"/>
    <w:rsid w:val="00D709AB"/>
    <w:rsid w:val="00D70C1A"/>
    <w:rsid w:val="00D71E89"/>
    <w:rsid w:val="00D72783"/>
    <w:rsid w:val="00D72D02"/>
    <w:rsid w:val="00D7362F"/>
    <w:rsid w:val="00D7372B"/>
    <w:rsid w:val="00D73DD9"/>
    <w:rsid w:val="00D7424E"/>
    <w:rsid w:val="00D746C8"/>
    <w:rsid w:val="00D74B4D"/>
    <w:rsid w:val="00D75124"/>
    <w:rsid w:val="00D75814"/>
    <w:rsid w:val="00D75E9E"/>
    <w:rsid w:val="00D7669F"/>
    <w:rsid w:val="00D7712A"/>
    <w:rsid w:val="00D77266"/>
    <w:rsid w:val="00D7787B"/>
    <w:rsid w:val="00D8055E"/>
    <w:rsid w:val="00D80770"/>
    <w:rsid w:val="00D80816"/>
    <w:rsid w:val="00D80DDF"/>
    <w:rsid w:val="00D82FF7"/>
    <w:rsid w:val="00D83E81"/>
    <w:rsid w:val="00D84584"/>
    <w:rsid w:val="00D84783"/>
    <w:rsid w:val="00D847FE"/>
    <w:rsid w:val="00D8678A"/>
    <w:rsid w:val="00D868BF"/>
    <w:rsid w:val="00D86E94"/>
    <w:rsid w:val="00D900D1"/>
    <w:rsid w:val="00D90467"/>
    <w:rsid w:val="00D9111F"/>
    <w:rsid w:val="00D91847"/>
    <w:rsid w:val="00D9194A"/>
    <w:rsid w:val="00D9367C"/>
    <w:rsid w:val="00D938DB"/>
    <w:rsid w:val="00D93F6A"/>
    <w:rsid w:val="00D943EE"/>
    <w:rsid w:val="00D95385"/>
    <w:rsid w:val="00D964EA"/>
    <w:rsid w:val="00D966D0"/>
    <w:rsid w:val="00DA0C59"/>
    <w:rsid w:val="00DA30B3"/>
    <w:rsid w:val="00DA38C4"/>
    <w:rsid w:val="00DA3991"/>
    <w:rsid w:val="00DA3E13"/>
    <w:rsid w:val="00DA493D"/>
    <w:rsid w:val="00DA52CC"/>
    <w:rsid w:val="00DA569C"/>
    <w:rsid w:val="00DA5879"/>
    <w:rsid w:val="00DA6010"/>
    <w:rsid w:val="00DA7045"/>
    <w:rsid w:val="00DB0D8D"/>
    <w:rsid w:val="00DB20BF"/>
    <w:rsid w:val="00DB2412"/>
    <w:rsid w:val="00DB2449"/>
    <w:rsid w:val="00DB3134"/>
    <w:rsid w:val="00DB3551"/>
    <w:rsid w:val="00DB49DB"/>
    <w:rsid w:val="00DB4C32"/>
    <w:rsid w:val="00DB54C2"/>
    <w:rsid w:val="00DB667F"/>
    <w:rsid w:val="00DB6847"/>
    <w:rsid w:val="00DB75EA"/>
    <w:rsid w:val="00DB7E6C"/>
    <w:rsid w:val="00DC0130"/>
    <w:rsid w:val="00DC02C4"/>
    <w:rsid w:val="00DC0607"/>
    <w:rsid w:val="00DC0A86"/>
    <w:rsid w:val="00DC1AC9"/>
    <w:rsid w:val="00DC5284"/>
    <w:rsid w:val="00DC5E71"/>
    <w:rsid w:val="00DC7A1E"/>
    <w:rsid w:val="00DD0CDD"/>
    <w:rsid w:val="00DD11B0"/>
    <w:rsid w:val="00DD1A13"/>
    <w:rsid w:val="00DD1C88"/>
    <w:rsid w:val="00DD320F"/>
    <w:rsid w:val="00DD5A29"/>
    <w:rsid w:val="00DD5D9D"/>
    <w:rsid w:val="00DD7E5D"/>
    <w:rsid w:val="00DE027D"/>
    <w:rsid w:val="00DE134F"/>
    <w:rsid w:val="00DE1442"/>
    <w:rsid w:val="00DE2B31"/>
    <w:rsid w:val="00DE3340"/>
    <w:rsid w:val="00DE3598"/>
    <w:rsid w:val="00DE35CB"/>
    <w:rsid w:val="00DE5044"/>
    <w:rsid w:val="00DE5D83"/>
    <w:rsid w:val="00DE666B"/>
    <w:rsid w:val="00DE6E0B"/>
    <w:rsid w:val="00DE7661"/>
    <w:rsid w:val="00DE7F9D"/>
    <w:rsid w:val="00DF01F2"/>
    <w:rsid w:val="00DF100E"/>
    <w:rsid w:val="00DF122D"/>
    <w:rsid w:val="00DF21E9"/>
    <w:rsid w:val="00DF2DB8"/>
    <w:rsid w:val="00DF3902"/>
    <w:rsid w:val="00DF3F19"/>
    <w:rsid w:val="00DF40DA"/>
    <w:rsid w:val="00DF42AF"/>
    <w:rsid w:val="00DF5F48"/>
    <w:rsid w:val="00DF6DF9"/>
    <w:rsid w:val="00DF7765"/>
    <w:rsid w:val="00E007DC"/>
    <w:rsid w:val="00E00F14"/>
    <w:rsid w:val="00E0396C"/>
    <w:rsid w:val="00E04DFC"/>
    <w:rsid w:val="00E054EC"/>
    <w:rsid w:val="00E06386"/>
    <w:rsid w:val="00E06870"/>
    <w:rsid w:val="00E10858"/>
    <w:rsid w:val="00E118AC"/>
    <w:rsid w:val="00E11A79"/>
    <w:rsid w:val="00E11ED5"/>
    <w:rsid w:val="00E130A9"/>
    <w:rsid w:val="00E13881"/>
    <w:rsid w:val="00E14476"/>
    <w:rsid w:val="00E14C6C"/>
    <w:rsid w:val="00E14D3E"/>
    <w:rsid w:val="00E1546F"/>
    <w:rsid w:val="00E1548C"/>
    <w:rsid w:val="00E15897"/>
    <w:rsid w:val="00E1778F"/>
    <w:rsid w:val="00E21382"/>
    <w:rsid w:val="00E21853"/>
    <w:rsid w:val="00E22208"/>
    <w:rsid w:val="00E2392D"/>
    <w:rsid w:val="00E24513"/>
    <w:rsid w:val="00E24D4A"/>
    <w:rsid w:val="00E24EB4"/>
    <w:rsid w:val="00E27E55"/>
    <w:rsid w:val="00E30272"/>
    <w:rsid w:val="00E31BC9"/>
    <w:rsid w:val="00E320ED"/>
    <w:rsid w:val="00E33917"/>
    <w:rsid w:val="00E33AFB"/>
    <w:rsid w:val="00E34218"/>
    <w:rsid w:val="00E344B1"/>
    <w:rsid w:val="00E36EE0"/>
    <w:rsid w:val="00E377CE"/>
    <w:rsid w:val="00E37E8F"/>
    <w:rsid w:val="00E4158F"/>
    <w:rsid w:val="00E42D32"/>
    <w:rsid w:val="00E43925"/>
    <w:rsid w:val="00E45200"/>
    <w:rsid w:val="00E45FEB"/>
    <w:rsid w:val="00E46282"/>
    <w:rsid w:val="00E46C24"/>
    <w:rsid w:val="00E46EC2"/>
    <w:rsid w:val="00E47047"/>
    <w:rsid w:val="00E47AA4"/>
    <w:rsid w:val="00E50051"/>
    <w:rsid w:val="00E5216E"/>
    <w:rsid w:val="00E52476"/>
    <w:rsid w:val="00E5457F"/>
    <w:rsid w:val="00E5546A"/>
    <w:rsid w:val="00E557CA"/>
    <w:rsid w:val="00E55A85"/>
    <w:rsid w:val="00E56750"/>
    <w:rsid w:val="00E5776A"/>
    <w:rsid w:val="00E57912"/>
    <w:rsid w:val="00E60914"/>
    <w:rsid w:val="00E60EAF"/>
    <w:rsid w:val="00E672CA"/>
    <w:rsid w:val="00E67AA6"/>
    <w:rsid w:val="00E70727"/>
    <w:rsid w:val="00E73798"/>
    <w:rsid w:val="00E737C3"/>
    <w:rsid w:val="00E7442F"/>
    <w:rsid w:val="00E74826"/>
    <w:rsid w:val="00E75A35"/>
    <w:rsid w:val="00E77EAF"/>
    <w:rsid w:val="00E80040"/>
    <w:rsid w:val="00E80AD1"/>
    <w:rsid w:val="00E813E7"/>
    <w:rsid w:val="00E82344"/>
    <w:rsid w:val="00E827AA"/>
    <w:rsid w:val="00E82F47"/>
    <w:rsid w:val="00E8394B"/>
    <w:rsid w:val="00E83EE1"/>
    <w:rsid w:val="00E84C82"/>
    <w:rsid w:val="00E84D64"/>
    <w:rsid w:val="00E852E0"/>
    <w:rsid w:val="00E85339"/>
    <w:rsid w:val="00E8547E"/>
    <w:rsid w:val="00E8571A"/>
    <w:rsid w:val="00E85725"/>
    <w:rsid w:val="00E87408"/>
    <w:rsid w:val="00E87BD9"/>
    <w:rsid w:val="00E90837"/>
    <w:rsid w:val="00E914C4"/>
    <w:rsid w:val="00E92334"/>
    <w:rsid w:val="00E934F5"/>
    <w:rsid w:val="00E939CC"/>
    <w:rsid w:val="00E94576"/>
    <w:rsid w:val="00E95413"/>
    <w:rsid w:val="00E96961"/>
    <w:rsid w:val="00E97145"/>
    <w:rsid w:val="00E97F16"/>
    <w:rsid w:val="00EA03A5"/>
    <w:rsid w:val="00EA0DCA"/>
    <w:rsid w:val="00EA195E"/>
    <w:rsid w:val="00EA20EA"/>
    <w:rsid w:val="00EA3AEE"/>
    <w:rsid w:val="00EA579D"/>
    <w:rsid w:val="00EA6284"/>
    <w:rsid w:val="00EA64DC"/>
    <w:rsid w:val="00EA6D3C"/>
    <w:rsid w:val="00EA70D6"/>
    <w:rsid w:val="00EA72EC"/>
    <w:rsid w:val="00EA7339"/>
    <w:rsid w:val="00EA7B2C"/>
    <w:rsid w:val="00EB1045"/>
    <w:rsid w:val="00EB11CB"/>
    <w:rsid w:val="00EB275A"/>
    <w:rsid w:val="00EB2942"/>
    <w:rsid w:val="00EB2AD8"/>
    <w:rsid w:val="00EB2DBC"/>
    <w:rsid w:val="00EB3379"/>
    <w:rsid w:val="00EB3604"/>
    <w:rsid w:val="00EB4324"/>
    <w:rsid w:val="00EB4DCF"/>
    <w:rsid w:val="00EB5A8D"/>
    <w:rsid w:val="00EB6A4C"/>
    <w:rsid w:val="00EB6D01"/>
    <w:rsid w:val="00EB786A"/>
    <w:rsid w:val="00EC0871"/>
    <w:rsid w:val="00EC1578"/>
    <w:rsid w:val="00EC1A45"/>
    <w:rsid w:val="00EC1C72"/>
    <w:rsid w:val="00EC2E7D"/>
    <w:rsid w:val="00EC3CC9"/>
    <w:rsid w:val="00EC3DFA"/>
    <w:rsid w:val="00EC50F1"/>
    <w:rsid w:val="00EC680A"/>
    <w:rsid w:val="00EC74A2"/>
    <w:rsid w:val="00EC77F8"/>
    <w:rsid w:val="00EC78F4"/>
    <w:rsid w:val="00ED1190"/>
    <w:rsid w:val="00ED18D0"/>
    <w:rsid w:val="00ED22F5"/>
    <w:rsid w:val="00ED2FB2"/>
    <w:rsid w:val="00ED3884"/>
    <w:rsid w:val="00ED4825"/>
    <w:rsid w:val="00ED4FAE"/>
    <w:rsid w:val="00ED6CCA"/>
    <w:rsid w:val="00ED6EB2"/>
    <w:rsid w:val="00ED7E1E"/>
    <w:rsid w:val="00EE1299"/>
    <w:rsid w:val="00EE1FFB"/>
    <w:rsid w:val="00EE2311"/>
    <w:rsid w:val="00EE23AA"/>
    <w:rsid w:val="00EE2639"/>
    <w:rsid w:val="00EE2BED"/>
    <w:rsid w:val="00EE31E6"/>
    <w:rsid w:val="00EE374B"/>
    <w:rsid w:val="00EE4DBA"/>
    <w:rsid w:val="00EE6D3F"/>
    <w:rsid w:val="00EE6F67"/>
    <w:rsid w:val="00EE78BF"/>
    <w:rsid w:val="00EF0886"/>
    <w:rsid w:val="00EF1612"/>
    <w:rsid w:val="00EF2187"/>
    <w:rsid w:val="00EF61FF"/>
    <w:rsid w:val="00EF658D"/>
    <w:rsid w:val="00EF7220"/>
    <w:rsid w:val="00EF771D"/>
    <w:rsid w:val="00EF78FF"/>
    <w:rsid w:val="00EF7E89"/>
    <w:rsid w:val="00F02CBD"/>
    <w:rsid w:val="00F039FB"/>
    <w:rsid w:val="00F04C09"/>
    <w:rsid w:val="00F05B97"/>
    <w:rsid w:val="00F05D25"/>
    <w:rsid w:val="00F05F7D"/>
    <w:rsid w:val="00F06B32"/>
    <w:rsid w:val="00F06BCF"/>
    <w:rsid w:val="00F07402"/>
    <w:rsid w:val="00F075D1"/>
    <w:rsid w:val="00F11139"/>
    <w:rsid w:val="00F11296"/>
    <w:rsid w:val="00F11BB5"/>
    <w:rsid w:val="00F11D27"/>
    <w:rsid w:val="00F122E2"/>
    <w:rsid w:val="00F13830"/>
    <w:rsid w:val="00F13B8D"/>
    <w:rsid w:val="00F1417B"/>
    <w:rsid w:val="00F14911"/>
    <w:rsid w:val="00F14963"/>
    <w:rsid w:val="00F14C37"/>
    <w:rsid w:val="00F15DA5"/>
    <w:rsid w:val="00F17671"/>
    <w:rsid w:val="00F17F07"/>
    <w:rsid w:val="00F2047A"/>
    <w:rsid w:val="00F205C4"/>
    <w:rsid w:val="00F2152C"/>
    <w:rsid w:val="00F217FF"/>
    <w:rsid w:val="00F2184F"/>
    <w:rsid w:val="00F21D21"/>
    <w:rsid w:val="00F2255B"/>
    <w:rsid w:val="00F22F83"/>
    <w:rsid w:val="00F236C3"/>
    <w:rsid w:val="00F23812"/>
    <w:rsid w:val="00F26639"/>
    <w:rsid w:val="00F300BE"/>
    <w:rsid w:val="00F30EB3"/>
    <w:rsid w:val="00F311D6"/>
    <w:rsid w:val="00F31697"/>
    <w:rsid w:val="00F31E06"/>
    <w:rsid w:val="00F32989"/>
    <w:rsid w:val="00F32DA5"/>
    <w:rsid w:val="00F34959"/>
    <w:rsid w:val="00F34B99"/>
    <w:rsid w:val="00F3631A"/>
    <w:rsid w:val="00F3641B"/>
    <w:rsid w:val="00F37C39"/>
    <w:rsid w:val="00F40008"/>
    <w:rsid w:val="00F43077"/>
    <w:rsid w:val="00F43594"/>
    <w:rsid w:val="00F43E75"/>
    <w:rsid w:val="00F4425B"/>
    <w:rsid w:val="00F456A3"/>
    <w:rsid w:val="00F470A3"/>
    <w:rsid w:val="00F47B58"/>
    <w:rsid w:val="00F47C6D"/>
    <w:rsid w:val="00F50075"/>
    <w:rsid w:val="00F51E47"/>
    <w:rsid w:val="00F525C9"/>
    <w:rsid w:val="00F52602"/>
    <w:rsid w:val="00F52DAB"/>
    <w:rsid w:val="00F52FF5"/>
    <w:rsid w:val="00F53072"/>
    <w:rsid w:val="00F543F0"/>
    <w:rsid w:val="00F54E3F"/>
    <w:rsid w:val="00F56AB9"/>
    <w:rsid w:val="00F56C27"/>
    <w:rsid w:val="00F6073A"/>
    <w:rsid w:val="00F6120B"/>
    <w:rsid w:val="00F6175A"/>
    <w:rsid w:val="00F61F1E"/>
    <w:rsid w:val="00F62EA1"/>
    <w:rsid w:val="00F64095"/>
    <w:rsid w:val="00F70FFA"/>
    <w:rsid w:val="00F71A6A"/>
    <w:rsid w:val="00F71C91"/>
    <w:rsid w:val="00F72220"/>
    <w:rsid w:val="00F72534"/>
    <w:rsid w:val="00F7341C"/>
    <w:rsid w:val="00F761F1"/>
    <w:rsid w:val="00F77877"/>
    <w:rsid w:val="00F80367"/>
    <w:rsid w:val="00F8106B"/>
    <w:rsid w:val="00F81D29"/>
    <w:rsid w:val="00F82731"/>
    <w:rsid w:val="00F827E2"/>
    <w:rsid w:val="00F83ED5"/>
    <w:rsid w:val="00F8448D"/>
    <w:rsid w:val="00F84B78"/>
    <w:rsid w:val="00F85B1F"/>
    <w:rsid w:val="00F8664B"/>
    <w:rsid w:val="00F86ABA"/>
    <w:rsid w:val="00F87117"/>
    <w:rsid w:val="00F87F7D"/>
    <w:rsid w:val="00F9150A"/>
    <w:rsid w:val="00F91C4D"/>
    <w:rsid w:val="00F91D97"/>
    <w:rsid w:val="00F92771"/>
    <w:rsid w:val="00F92FD9"/>
    <w:rsid w:val="00F93DF0"/>
    <w:rsid w:val="00F94BFD"/>
    <w:rsid w:val="00F9525C"/>
    <w:rsid w:val="00F973FD"/>
    <w:rsid w:val="00FA44D0"/>
    <w:rsid w:val="00FA5385"/>
    <w:rsid w:val="00FA603B"/>
    <w:rsid w:val="00FA6684"/>
    <w:rsid w:val="00FA731E"/>
    <w:rsid w:val="00FA74E4"/>
    <w:rsid w:val="00FB05C3"/>
    <w:rsid w:val="00FB0AAA"/>
    <w:rsid w:val="00FB2B0F"/>
    <w:rsid w:val="00FB2B38"/>
    <w:rsid w:val="00FB2ED2"/>
    <w:rsid w:val="00FB3D73"/>
    <w:rsid w:val="00FB4710"/>
    <w:rsid w:val="00FB6656"/>
    <w:rsid w:val="00FC0BD9"/>
    <w:rsid w:val="00FC1CCE"/>
    <w:rsid w:val="00FC23E1"/>
    <w:rsid w:val="00FC2BD4"/>
    <w:rsid w:val="00FC3AC5"/>
    <w:rsid w:val="00FC41B8"/>
    <w:rsid w:val="00FC4723"/>
    <w:rsid w:val="00FC4BCF"/>
    <w:rsid w:val="00FC5983"/>
    <w:rsid w:val="00FC60AC"/>
    <w:rsid w:val="00FC6358"/>
    <w:rsid w:val="00FC6625"/>
    <w:rsid w:val="00FC68B7"/>
    <w:rsid w:val="00FC6FA7"/>
    <w:rsid w:val="00FC7F52"/>
    <w:rsid w:val="00FD0123"/>
    <w:rsid w:val="00FD320D"/>
    <w:rsid w:val="00FD356E"/>
    <w:rsid w:val="00FD36EE"/>
    <w:rsid w:val="00FD3C97"/>
    <w:rsid w:val="00FD4D67"/>
    <w:rsid w:val="00FD548C"/>
    <w:rsid w:val="00FD6ECD"/>
    <w:rsid w:val="00FD76BE"/>
    <w:rsid w:val="00FE0151"/>
    <w:rsid w:val="00FE026E"/>
    <w:rsid w:val="00FE0D67"/>
    <w:rsid w:val="00FE1900"/>
    <w:rsid w:val="00FE19A1"/>
    <w:rsid w:val="00FE2331"/>
    <w:rsid w:val="00FE23DE"/>
    <w:rsid w:val="00FE2D15"/>
    <w:rsid w:val="00FE2F68"/>
    <w:rsid w:val="00FE3797"/>
    <w:rsid w:val="00FE3A08"/>
    <w:rsid w:val="00FE45C6"/>
    <w:rsid w:val="00FE4E0E"/>
    <w:rsid w:val="00FE517E"/>
    <w:rsid w:val="00FE6867"/>
    <w:rsid w:val="00FE7B15"/>
    <w:rsid w:val="00FF09AD"/>
    <w:rsid w:val="00FF0CE1"/>
    <w:rsid w:val="00FF0CE2"/>
    <w:rsid w:val="00FF15CC"/>
    <w:rsid w:val="00FF166D"/>
    <w:rsid w:val="00FF1CBB"/>
    <w:rsid w:val="00FF1F9C"/>
    <w:rsid w:val="00FF49A5"/>
    <w:rsid w:val="00FF6868"/>
    <w:rsid w:val="00FF7977"/>
    <w:rsid w:val="066162C0"/>
    <w:rsid w:val="07634114"/>
    <w:rsid w:val="103501B8"/>
    <w:rsid w:val="1132553A"/>
    <w:rsid w:val="14CF174C"/>
    <w:rsid w:val="1E3F091B"/>
    <w:rsid w:val="1E443979"/>
    <w:rsid w:val="35D61655"/>
    <w:rsid w:val="37905325"/>
    <w:rsid w:val="38822CFA"/>
    <w:rsid w:val="3D8739B6"/>
    <w:rsid w:val="53B37335"/>
    <w:rsid w:val="6EBB4295"/>
    <w:rsid w:val="76AC5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rules v:ext="edit">
        <o:r id="V:Rule1" type="connector" idref="#AutoShape 4"/>
      </o:rules>
    </o:shapelayout>
  </w:shapeDefaults>
  <w:decimalSymbol w:val="."/>
  <w:listSeparator w:val=","/>
  <w14:docId w14:val="2BC0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4">
    <w:name w:val="Normal"/>
    <w:qFormat/>
    <w:pPr>
      <w:widowControl w:val="0"/>
      <w:jc w:val="both"/>
    </w:pPr>
    <w:rPr>
      <w:kern w:val="2"/>
      <w:sz w:val="21"/>
      <w:szCs w:val="24"/>
    </w:rPr>
  </w:style>
  <w:style w:type="paragraph" w:styleId="1">
    <w:name w:val="heading 1"/>
    <w:basedOn w:val="af4"/>
    <w:next w:val="af4"/>
    <w:pPr>
      <w:keepNext/>
      <w:keepLines/>
      <w:spacing w:before="340" w:after="330" w:line="578" w:lineRule="auto"/>
      <w:outlineLvl w:val="0"/>
    </w:pPr>
    <w:rPr>
      <w:b/>
      <w:bCs/>
      <w:kern w:val="44"/>
      <w:sz w:val="44"/>
      <w:szCs w:val="44"/>
    </w:rPr>
  </w:style>
  <w:style w:type="paragraph" w:styleId="6">
    <w:name w:val="heading 6"/>
    <w:basedOn w:val="af4"/>
    <w:next w:val="af4"/>
    <w:link w:val="60"/>
    <w:semiHidden/>
    <w:unhideWhenUsed/>
    <w:qFormat/>
    <w:pPr>
      <w:keepNext/>
      <w:keepLines/>
      <w:spacing w:before="240" w:after="64" w:line="320" w:lineRule="auto"/>
      <w:outlineLvl w:val="5"/>
    </w:pPr>
    <w:rPr>
      <w:rFonts w:ascii="等线 Light" w:eastAsia="等线 Light" w:hAnsi="等线 Light"/>
      <w:b/>
      <w:bCs/>
      <w:sz w:val="24"/>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TOC7">
    <w:name w:val="toc 7"/>
    <w:basedOn w:val="af4"/>
    <w:next w:val="af4"/>
    <w:semiHidden/>
    <w:qFormat/>
    <w:pPr>
      <w:tabs>
        <w:tab w:val="right" w:leader="dot" w:pos="9242"/>
      </w:tabs>
      <w:ind w:firstLineChars="500" w:firstLine="6259"/>
      <w:jc w:val="left"/>
    </w:pPr>
    <w:rPr>
      <w:rFonts w:ascii="宋体"/>
      <w:szCs w:val="21"/>
    </w:rPr>
  </w:style>
  <w:style w:type="paragraph" w:styleId="8">
    <w:name w:val="index 8"/>
    <w:basedOn w:val="af4"/>
    <w:next w:val="af4"/>
    <w:qFormat/>
    <w:pPr>
      <w:ind w:left="1680" w:hanging="210"/>
      <w:jc w:val="left"/>
    </w:pPr>
    <w:rPr>
      <w:rFonts w:ascii="Calibri" w:hAnsi="Calibri"/>
      <w:sz w:val="20"/>
      <w:szCs w:val="20"/>
    </w:rPr>
  </w:style>
  <w:style w:type="paragraph" w:styleId="af8">
    <w:name w:val="caption"/>
    <w:basedOn w:val="af4"/>
    <w:next w:val="af4"/>
    <w:qFormat/>
    <w:pPr>
      <w:spacing w:before="152" w:after="160"/>
    </w:pPr>
    <w:rPr>
      <w:rFonts w:ascii="Arial" w:eastAsia="黑体" w:hAnsi="Arial" w:cs="Arial"/>
      <w:sz w:val="20"/>
      <w:szCs w:val="20"/>
    </w:rPr>
  </w:style>
  <w:style w:type="paragraph" w:styleId="5">
    <w:name w:val="index 5"/>
    <w:basedOn w:val="af4"/>
    <w:next w:val="af4"/>
    <w:qFormat/>
    <w:pPr>
      <w:ind w:left="1050" w:hanging="210"/>
      <w:jc w:val="left"/>
    </w:pPr>
    <w:rPr>
      <w:rFonts w:ascii="Calibri" w:hAnsi="Calibri"/>
      <w:sz w:val="20"/>
      <w:szCs w:val="20"/>
    </w:rPr>
  </w:style>
  <w:style w:type="paragraph" w:styleId="af9">
    <w:name w:val="Document Map"/>
    <w:basedOn w:val="af4"/>
    <w:semiHidden/>
    <w:qFormat/>
    <w:pPr>
      <w:shd w:val="clear" w:color="auto" w:fill="000080"/>
    </w:pPr>
  </w:style>
  <w:style w:type="paragraph" w:styleId="afa">
    <w:name w:val="annotation text"/>
    <w:basedOn w:val="af4"/>
    <w:qFormat/>
    <w:pPr>
      <w:jc w:val="left"/>
    </w:pPr>
  </w:style>
  <w:style w:type="paragraph" w:styleId="61">
    <w:name w:val="index 6"/>
    <w:basedOn w:val="af4"/>
    <w:next w:val="af4"/>
    <w:qFormat/>
    <w:pPr>
      <w:ind w:left="1260" w:hanging="210"/>
      <w:jc w:val="left"/>
    </w:pPr>
    <w:rPr>
      <w:rFonts w:ascii="Calibri" w:hAnsi="Calibri"/>
      <w:sz w:val="20"/>
      <w:szCs w:val="20"/>
    </w:rPr>
  </w:style>
  <w:style w:type="paragraph" w:styleId="4">
    <w:name w:val="index 4"/>
    <w:basedOn w:val="af4"/>
    <w:next w:val="af4"/>
    <w:qFormat/>
    <w:pPr>
      <w:ind w:left="840" w:hanging="210"/>
      <w:jc w:val="left"/>
    </w:pPr>
    <w:rPr>
      <w:rFonts w:ascii="Calibri" w:hAnsi="Calibri"/>
      <w:sz w:val="20"/>
      <w:szCs w:val="20"/>
    </w:rPr>
  </w:style>
  <w:style w:type="paragraph" w:styleId="TOC5">
    <w:name w:val="toc 5"/>
    <w:basedOn w:val="af4"/>
    <w:next w:val="af4"/>
    <w:semiHidden/>
    <w:qFormat/>
    <w:pPr>
      <w:tabs>
        <w:tab w:val="right" w:leader="dot" w:pos="9242"/>
      </w:tabs>
      <w:ind w:firstLineChars="300" w:firstLine="3755"/>
      <w:jc w:val="left"/>
    </w:pPr>
    <w:rPr>
      <w:rFonts w:ascii="宋体"/>
      <w:szCs w:val="21"/>
    </w:rPr>
  </w:style>
  <w:style w:type="paragraph" w:styleId="TOC3">
    <w:name w:val="toc 3"/>
    <w:basedOn w:val="af4"/>
    <w:next w:val="af4"/>
    <w:uiPriority w:val="39"/>
    <w:qFormat/>
    <w:pPr>
      <w:tabs>
        <w:tab w:val="right" w:leader="dot" w:pos="9242"/>
      </w:tabs>
      <w:ind w:firstLineChars="100" w:firstLine="1252"/>
      <w:jc w:val="left"/>
    </w:pPr>
    <w:rPr>
      <w:rFonts w:ascii="宋体"/>
      <w:szCs w:val="21"/>
    </w:rPr>
  </w:style>
  <w:style w:type="paragraph" w:styleId="TOC8">
    <w:name w:val="toc 8"/>
    <w:basedOn w:val="af4"/>
    <w:next w:val="af4"/>
    <w:semiHidden/>
    <w:qFormat/>
    <w:pPr>
      <w:tabs>
        <w:tab w:val="right" w:leader="dot" w:pos="9242"/>
      </w:tabs>
      <w:ind w:firstLineChars="600" w:firstLine="7511"/>
      <w:jc w:val="left"/>
    </w:pPr>
    <w:rPr>
      <w:rFonts w:ascii="宋体"/>
      <w:szCs w:val="21"/>
    </w:rPr>
  </w:style>
  <w:style w:type="paragraph" w:styleId="3">
    <w:name w:val="index 3"/>
    <w:basedOn w:val="af4"/>
    <w:next w:val="af4"/>
    <w:qFormat/>
    <w:pPr>
      <w:ind w:left="630" w:hanging="210"/>
      <w:jc w:val="left"/>
    </w:pPr>
    <w:rPr>
      <w:rFonts w:ascii="Calibri" w:hAnsi="Calibri"/>
      <w:sz w:val="20"/>
      <w:szCs w:val="20"/>
    </w:rPr>
  </w:style>
  <w:style w:type="paragraph" w:styleId="afb">
    <w:name w:val="Date"/>
    <w:basedOn w:val="af4"/>
    <w:next w:val="af4"/>
    <w:link w:val="afc"/>
    <w:pPr>
      <w:ind w:leftChars="2500" w:left="100"/>
    </w:pPr>
  </w:style>
  <w:style w:type="paragraph" w:styleId="afd">
    <w:name w:val="endnote text"/>
    <w:basedOn w:val="af4"/>
    <w:semiHidden/>
    <w:qFormat/>
    <w:pPr>
      <w:snapToGrid w:val="0"/>
      <w:jc w:val="left"/>
    </w:pPr>
  </w:style>
  <w:style w:type="paragraph" w:styleId="afe">
    <w:name w:val="Balloon Text"/>
    <w:basedOn w:val="af4"/>
    <w:semiHidden/>
    <w:qFormat/>
    <w:rPr>
      <w:sz w:val="18"/>
      <w:szCs w:val="18"/>
    </w:rPr>
  </w:style>
  <w:style w:type="paragraph" w:styleId="aff">
    <w:name w:val="footer"/>
    <w:basedOn w:val="af4"/>
    <w:link w:val="aff0"/>
    <w:uiPriority w:val="99"/>
    <w:qFormat/>
    <w:pPr>
      <w:snapToGrid w:val="0"/>
      <w:ind w:rightChars="100" w:right="210"/>
      <w:jc w:val="right"/>
    </w:pPr>
    <w:rPr>
      <w:sz w:val="18"/>
      <w:szCs w:val="18"/>
    </w:rPr>
  </w:style>
  <w:style w:type="paragraph" w:styleId="aff1">
    <w:name w:val="header"/>
    <w:basedOn w:val="af4"/>
    <w:link w:val="aff2"/>
    <w:uiPriority w:val="99"/>
    <w:qFormat/>
    <w:pPr>
      <w:snapToGrid w:val="0"/>
      <w:jc w:val="left"/>
    </w:pPr>
    <w:rPr>
      <w:sz w:val="18"/>
      <w:szCs w:val="18"/>
    </w:rPr>
  </w:style>
  <w:style w:type="paragraph" w:styleId="TOC1">
    <w:name w:val="toc 1"/>
    <w:basedOn w:val="af4"/>
    <w:next w:val="af4"/>
    <w:uiPriority w:val="39"/>
    <w:qFormat/>
    <w:pPr>
      <w:tabs>
        <w:tab w:val="right" w:leader="dot" w:pos="9242"/>
      </w:tabs>
      <w:spacing w:beforeLines="25" w:afterLines="25"/>
      <w:jc w:val="left"/>
    </w:pPr>
    <w:rPr>
      <w:rFonts w:ascii="宋体"/>
      <w:szCs w:val="21"/>
    </w:rPr>
  </w:style>
  <w:style w:type="paragraph" w:styleId="TOC4">
    <w:name w:val="toc 4"/>
    <w:basedOn w:val="af4"/>
    <w:next w:val="af4"/>
    <w:semiHidden/>
    <w:qFormat/>
    <w:pPr>
      <w:tabs>
        <w:tab w:val="right" w:leader="dot" w:pos="9242"/>
      </w:tabs>
      <w:ind w:firstLineChars="200" w:firstLine="2504"/>
      <w:jc w:val="left"/>
    </w:pPr>
    <w:rPr>
      <w:rFonts w:ascii="宋体"/>
      <w:szCs w:val="21"/>
    </w:rPr>
  </w:style>
  <w:style w:type="paragraph" w:styleId="aff3">
    <w:name w:val="index heading"/>
    <w:basedOn w:val="af4"/>
    <w:next w:val="10"/>
    <w:qFormat/>
    <w:pPr>
      <w:spacing w:before="120" w:after="120"/>
      <w:jc w:val="center"/>
    </w:pPr>
    <w:rPr>
      <w:rFonts w:ascii="Calibri" w:hAnsi="Calibri"/>
      <w:b/>
      <w:bCs/>
      <w:iCs/>
      <w:szCs w:val="20"/>
    </w:rPr>
  </w:style>
  <w:style w:type="paragraph" w:styleId="10">
    <w:name w:val="index 1"/>
    <w:basedOn w:val="af4"/>
    <w:next w:val="aff4"/>
    <w:pPr>
      <w:tabs>
        <w:tab w:val="right" w:leader="dot" w:pos="9299"/>
      </w:tabs>
      <w:jc w:val="left"/>
    </w:pPr>
    <w:rPr>
      <w:rFonts w:ascii="宋体"/>
      <w:szCs w:val="21"/>
    </w:rPr>
  </w:style>
  <w:style w:type="paragraph" w:customStyle="1" w:styleId="aff4">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a">
    <w:name w:val="footnote text"/>
    <w:basedOn w:val="af4"/>
    <w:qFormat/>
    <w:pPr>
      <w:numPr>
        <w:numId w:val="1"/>
      </w:numPr>
      <w:snapToGrid w:val="0"/>
      <w:jc w:val="left"/>
    </w:pPr>
    <w:rPr>
      <w:rFonts w:ascii="宋体"/>
      <w:sz w:val="18"/>
      <w:szCs w:val="18"/>
    </w:rPr>
  </w:style>
  <w:style w:type="paragraph" w:styleId="TOC6">
    <w:name w:val="toc 6"/>
    <w:basedOn w:val="af4"/>
    <w:next w:val="af4"/>
    <w:semiHidden/>
    <w:qFormat/>
    <w:pPr>
      <w:tabs>
        <w:tab w:val="right" w:leader="dot" w:pos="9242"/>
      </w:tabs>
      <w:ind w:firstLineChars="400" w:firstLine="5007"/>
      <w:jc w:val="left"/>
    </w:pPr>
    <w:rPr>
      <w:rFonts w:ascii="宋体"/>
      <w:szCs w:val="21"/>
    </w:rPr>
  </w:style>
  <w:style w:type="paragraph" w:styleId="7">
    <w:name w:val="index 7"/>
    <w:basedOn w:val="af4"/>
    <w:next w:val="af4"/>
    <w:qFormat/>
    <w:pPr>
      <w:ind w:left="1470" w:hanging="210"/>
      <w:jc w:val="left"/>
    </w:pPr>
    <w:rPr>
      <w:rFonts w:ascii="Calibri" w:hAnsi="Calibri"/>
      <w:sz w:val="20"/>
      <w:szCs w:val="20"/>
    </w:rPr>
  </w:style>
  <w:style w:type="paragraph" w:styleId="9">
    <w:name w:val="index 9"/>
    <w:basedOn w:val="af4"/>
    <w:next w:val="af4"/>
    <w:qFormat/>
    <w:pPr>
      <w:ind w:left="1890" w:hanging="210"/>
      <w:jc w:val="left"/>
    </w:pPr>
    <w:rPr>
      <w:rFonts w:ascii="Calibri" w:hAnsi="Calibri"/>
      <w:sz w:val="20"/>
      <w:szCs w:val="20"/>
    </w:rPr>
  </w:style>
  <w:style w:type="paragraph" w:styleId="TOC2">
    <w:name w:val="toc 2"/>
    <w:basedOn w:val="af4"/>
    <w:next w:val="af4"/>
    <w:uiPriority w:val="39"/>
    <w:qFormat/>
    <w:pPr>
      <w:tabs>
        <w:tab w:val="right" w:leader="dot" w:pos="9242"/>
      </w:tabs>
    </w:pPr>
    <w:rPr>
      <w:rFonts w:ascii="宋体"/>
      <w:szCs w:val="21"/>
    </w:rPr>
  </w:style>
  <w:style w:type="paragraph" w:styleId="TOC9">
    <w:name w:val="toc 9"/>
    <w:basedOn w:val="af4"/>
    <w:next w:val="af4"/>
    <w:semiHidden/>
    <w:qFormat/>
    <w:pPr>
      <w:ind w:left="1470"/>
      <w:jc w:val="left"/>
    </w:pPr>
    <w:rPr>
      <w:sz w:val="20"/>
      <w:szCs w:val="20"/>
    </w:rPr>
  </w:style>
  <w:style w:type="paragraph" w:styleId="aff5">
    <w:name w:val="Normal (Web)"/>
    <w:basedOn w:val="af4"/>
    <w:uiPriority w:val="99"/>
    <w:semiHidden/>
    <w:unhideWhenUsed/>
    <w:qFormat/>
    <w:pPr>
      <w:widowControl/>
      <w:spacing w:before="100" w:beforeAutospacing="1" w:after="100" w:afterAutospacing="1"/>
      <w:jc w:val="left"/>
    </w:pPr>
    <w:rPr>
      <w:rFonts w:ascii="宋体" w:hAnsi="宋体" w:cs="宋体"/>
      <w:kern w:val="0"/>
      <w:sz w:val="24"/>
    </w:rPr>
  </w:style>
  <w:style w:type="paragraph" w:styleId="2">
    <w:name w:val="index 2"/>
    <w:basedOn w:val="af4"/>
    <w:next w:val="af4"/>
    <w:qFormat/>
    <w:pPr>
      <w:ind w:left="420" w:hanging="210"/>
      <w:jc w:val="left"/>
    </w:pPr>
    <w:rPr>
      <w:rFonts w:ascii="Calibri" w:hAnsi="Calibri"/>
      <w:sz w:val="20"/>
      <w:szCs w:val="20"/>
    </w:rPr>
  </w:style>
  <w:style w:type="paragraph" w:styleId="aff6">
    <w:name w:val="annotation subject"/>
    <w:basedOn w:val="afa"/>
    <w:next w:val="afa"/>
    <w:semiHidden/>
    <w:qFormat/>
    <w:rPr>
      <w:b/>
      <w:bCs/>
    </w:rPr>
  </w:style>
  <w:style w:type="table" w:styleId="aff7">
    <w:name w:val="Table Grid"/>
    <w:basedOn w:val="af6"/>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8">
    <w:name w:val="endnote reference"/>
    <w:semiHidden/>
    <w:qFormat/>
    <w:rPr>
      <w:vertAlign w:val="superscript"/>
    </w:rPr>
  </w:style>
  <w:style w:type="character" w:styleId="aff9">
    <w:name w:val="page number"/>
    <w:qFormat/>
    <w:rPr>
      <w:rFonts w:ascii="Times New Roman" w:eastAsia="宋体" w:hAnsi="Times New Roman"/>
      <w:sz w:val="18"/>
    </w:rPr>
  </w:style>
  <w:style w:type="character" w:styleId="affa">
    <w:name w:val="FollowedHyperlink"/>
    <w:qFormat/>
    <w:rPr>
      <w:color w:val="800080"/>
      <w:u w:val="single"/>
    </w:rPr>
  </w:style>
  <w:style w:type="character" w:styleId="affb">
    <w:name w:val="Emphasis"/>
    <w:uiPriority w:val="20"/>
    <w:qFormat/>
    <w:rPr>
      <w:i/>
      <w:iCs/>
    </w:rPr>
  </w:style>
  <w:style w:type="character" w:styleId="affc">
    <w:name w:val="Hyperlink"/>
    <w:uiPriority w:val="99"/>
    <w:qFormat/>
    <w:rPr>
      <w:color w:val="0000FF"/>
      <w:spacing w:val="0"/>
      <w:w w:val="100"/>
      <w:szCs w:val="21"/>
      <w:u w:val="single"/>
    </w:rPr>
  </w:style>
  <w:style w:type="character" w:styleId="affd">
    <w:name w:val="annotation reference"/>
    <w:semiHidden/>
    <w:rPr>
      <w:sz w:val="21"/>
      <w:szCs w:val="21"/>
    </w:rPr>
  </w:style>
  <w:style w:type="character" w:styleId="affe">
    <w:name w:val="footnote reference"/>
    <w:semiHidden/>
    <w:qFormat/>
    <w:rPr>
      <w:vertAlign w:val="superscript"/>
    </w:rPr>
  </w:style>
  <w:style w:type="character" w:styleId="afff">
    <w:name w:val="Placeholder Text"/>
    <w:uiPriority w:val="99"/>
    <w:semiHidden/>
    <w:qFormat/>
    <w:rPr>
      <w:color w:val="808080"/>
    </w:rPr>
  </w:style>
  <w:style w:type="character" w:customStyle="1" w:styleId="font531">
    <w:name w:val="font531"/>
    <w:qFormat/>
    <w:rPr>
      <w:rFonts w:ascii="Arial" w:hAnsi="Arial" w:cs="Arial" w:hint="default"/>
      <w:color w:val="000000"/>
      <w:sz w:val="24"/>
      <w:szCs w:val="24"/>
      <w:u w:val="none"/>
    </w:rPr>
  </w:style>
  <w:style w:type="character" w:customStyle="1" w:styleId="Char0">
    <w:name w:val="首示例 Char"/>
    <w:link w:val="afff0"/>
    <w:qFormat/>
    <w:rPr>
      <w:rFonts w:ascii="宋体" w:hAnsi="宋体"/>
      <w:kern w:val="2"/>
      <w:sz w:val="18"/>
      <w:szCs w:val="18"/>
      <w:lang w:val="en-US" w:eastAsia="zh-CN" w:bidi="ar-SA"/>
    </w:rPr>
  </w:style>
  <w:style w:type="paragraph" w:customStyle="1" w:styleId="afff0">
    <w:name w:val="首示例"/>
    <w:next w:val="aff4"/>
    <w:link w:val="Char0"/>
    <w:qFormat/>
    <w:pPr>
      <w:tabs>
        <w:tab w:val="left" w:pos="360"/>
      </w:tabs>
    </w:pPr>
    <w:rPr>
      <w:rFonts w:ascii="宋体" w:hAnsi="宋体"/>
      <w:kern w:val="2"/>
      <w:sz w:val="18"/>
      <w:szCs w:val="18"/>
    </w:rPr>
  </w:style>
  <w:style w:type="character" w:customStyle="1" w:styleId="font451">
    <w:name w:val="font451"/>
    <w:qFormat/>
    <w:rPr>
      <w:rFonts w:ascii="等线" w:eastAsia="等线" w:hAnsi="等线" w:hint="eastAsia"/>
      <w:color w:val="000000"/>
      <w:sz w:val="22"/>
      <w:szCs w:val="22"/>
      <w:u w:val="none"/>
    </w:rPr>
  </w:style>
  <w:style w:type="character" w:customStyle="1" w:styleId="Char1">
    <w:name w:val="二级条标题 Char"/>
    <w:link w:val="a2"/>
    <w:qFormat/>
    <w:locked/>
    <w:rPr>
      <w:rFonts w:ascii="黑体" w:eastAsia="黑体"/>
      <w:sz w:val="21"/>
      <w:szCs w:val="21"/>
    </w:rPr>
  </w:style>
  <w:style w:type="paragraph" w:customStyle="1" w:styleId="a2">
    <w:name w:val="二级条标题"/>
    <w:basedOn w:val="a1"/>
    <w:next w:val="aff4"/>
    <w:link w:val="Char1"/>
    <w:qFormat/>
    <w:pPr>
      <w:numPr>
        <w:ilvl w:val="2"/>
      </w:numPr>
      <w:spacing w:before="50" w:after="50"/>
      <w:ind w:left="1843"/>
      <w:outlineLvl w:val="3"/>
    </w:pPr>
  </w:style>
  <w:style w:type="paragraph" w:customStyle="1" w:styleId="a1">
    <w:name w:val="一级条标题"/>
    <w:next w:val="aff4"/>
    <w:qFormat/>
    <w:pPr>
      <w:numPr>
        <w:ilvl w:val="1"/>
        <w:numId w:val="2"/>
      </w:numPr>
      <w:spacing w:beforeLines="50" w:afterLines="50"/>
      <w:outlineLvl w:val="2"/>
    </w:pPr>
    <w:rPr>
      <w:rFonts w:ascii="黑体" w:eastAsia="黑体"/>
      <w:sz w:val="21"/>
      <w:szCs w:val="21"/>
    </w:rPr>
  </w:style>
  <w:style w:type="character" w:customStyle="1" w:styleId="Char2">
    <w:name w:val="三级条标题 Char"/>
    <w:link w:val="a3"/>
    <w:qFormat/>
    <w:rPr>
      <w:rFonts w:ascii="黑体" w:eastAsia="黑体"/>
      <w:sz w:val="21"/>
      <w:szCs w:val="21"/>
    </w:rPr>
  </w:style>
  <w:style w:type="paragraph" w:customStyle="1" w:styleId="a3">
    <w:name w:val="三级条标题"/>
    <w:basedOn w:val="a2"/>
    <w:next w:val="aff4"/>
    <w:link w:val="Char2"/>
    <w:qFormat/>
    <w:pPr>
      <w:numPr>
        <w:ilvl w:val="3"/>
      </w:numPr>
      <w:outlineLvl w:val="4"/>
    </w:pPr>
  </w:style>
  <w:style w:type="character" w:customStyle="1" w:styleId="aff2">
    <w:name w:val="页眉 字符"/>
    <w:link w:val="aff1"/>
    <w:uiPriority w:val="99"/>
    <w:qFormat/>
    <w:rPr>
      <w:kern w:val="2"/>
      <w:sz w:val="18"/>
      <w:szCs w:val="18"/>
    </w:rPr>
  </w:style>
  <w:style w:type="character" w:customStyle="1" w:styleId="11">
    <w:name w:val="样式1 字符"/>
    <w:link w:val="12"/>
    <w:qFormat/>
    <w:rPr>
      <w:rFonts w:ascii="Cambria Math" w:hAnsi="Cambria Math"/>
      <w:i/>
      <w:sz w:val="28"/>
      <w:szCs w:val="28"/>
      <w:lang w:val="en-US" w:eastAsia="zh-CN" w:bidi="ar-SA"/>
    </w:rPr>
  </w:style>
  <w:style w:type="paragraph" w:customStyle="1" w:styleId="12">
    <w:name w:val="样式1"/>
    <w:basedOn w:val="afff1"/>
    <w:link w:val="11"/>
    <w:qFormat/>
    <w:pPr>
      <w:spacing w:beforeLines="50" w:afterLines="50"/>
      <w:ind w:firstLine="200"/>
    </w:pPr>
    <w:rPr>
      <w:rFonts w:ascii="Cambria Math" w:hAnsi="Cambria Math"/>
      <w:i/>
      <w:sz w:val="28"/>
      <w:szCs w:val="28"/>
    </w:rPr>
  </w:style>
  <w:style w:type="paragraph" w:customStyle="1" w:styleId="afff1">
    <w:name w:val="附录公式"/>
    <w:basedOn w:val="aff4"/>
    <w:next w:val="aff4"/>
    <w:link w:val="Char3"/>
    <w:qFormat/>
  </w:style>
  <w:style w:type="character" w:customStyle="1" w:styleId="Char3">
    <w:name w:val="附录公式 Char"/>
    <w:link w:val="afff1"/>
    <w:qFormat/>
    <w:rPr>
      <w:rFonts w:ascii="宋体"/>
      <w:sz w:val="21"/>
      <w:lang w:val="en-US" w:eastAsia="zh-CN" w:bidi="ar-SA"/>
    </w:rPr>
  </w:style>
  <w:style w:type="character" w:customStyle="1" w:styleId="Char">
    <w:name w:val="段 Char"/>
    <w:link w:val="aff4"/>
    <w:qFormat/>
    <w:rPr>
      <w:rFonts w:ascii="宋体"/>
      <w:sz w:val="21"/>
      <w:lang w:val="en-US" w:eastAsia="zh-CN" w:bidi="ar-SA"/>
    </w:rPr>
  </w:style>
  <w:style w:type="character" w:customStyle="1" w:styleId="font441">
    <w:name w:val="font441"/>
    <w:qFormat/>
    <w:rPr>
      <w:rFonts w:ascii="等线" w:eastAsia="等线" w:hAnsi="等线" w:hint="eastAsia"/>
      <w:color w:val="000000"/>
      <w:sz w:val="24"/>
      <w:szCs w:val="24"/>
      <w:u w:val="none"/>
    </w:rPr>
  </w:style>
  <w:style w:type="character" w:customStyle="1" w:styleId="font541">
    <w:name w:val="font541"/>
    <w:qFormat/>
    <w:rPr>
      <w:rFonts w:ascii="Arial" w:hAnsi="Arial" w:cs="Arial" w:hint="default"/>
      <w:color w:val="000000"/>
      <w:sz w:val="22"/>
      <w:szCs w:val="22"/>
      <w:u w:val="none"/>
    </w:rPr>
  </w:style>
  <w:style w:type="character" w:customStyle="1" w:styleId="afff2">
    <w:name w:val="发布"/>
    <w:qFormat/>
    <w:rPr>
      <w:rFonts w:ascii="黑体" w:eastAsia="黑体"/>
      <w:spacing w:val="85"/>
      <w:w w:val="100"/>
      <w:position w:val="3"/>
      <w:sz w:val="28"/>
      <w:szCs w:val="28"/>
    </w:rPr>
  </w:style>
  <w:style w:type="character" w:customStyle="1" w:styleId="apple-style-span">
    <w:name w:val="apple-style-span"/>
    <w:qFormat/>
  </w:style>
  <w:style w:type="paragraph" w:customStyle="1" w:styleId="afff3">
    <w:name w:val="注×："/>
    <w:qFormat/>
    <w:pPr>
      <w:widowControl w:val="0"/>
      <w:autoSpaceDE w:val="0"/>
      <w:autoSpaceDN w:val="0"/>
      <w:ind w:left="811" w:hanging="448"/>
      <w:jc w:val="both"/>
    </w:pPr>
    <w:rPr>
      <w:rFonts w:ascii="宋体"/>
      <w:sz w:val="18"/>
      <w:szCs w:val="18"/>
    </w:rPr>
  </w:style>
  <w:style w:type="paragraph" w:customStyle="1" w:styleId="afff4">
    <w:name w:val="参考文献"/>
    <w:basedOn w:val="af4"/>
    <w:next w:val="aff4"/>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附录五级无"/>
    <w:basedOn w:val="afff6"/>
    <w:qFormat/>
    <w:pPr>
      <w:spacing w:beforeLines="0" w:afterLines="0"/>
    </w:pPr>
    <w:rPr>
      <w:rFonts w:ascii="宋体" w:eastAsia="宋体"/>
      <w:szCs w:val="21"/>
    </w:rPr>
  </w:style>
  <w:style w:type="paragraph" w:customStyle="1" w:styleId="afff6">
    <w:name w:val="附录五级条标题"/>
    <w:basedOn w:val="afff7"/>
    <w:next w:val="aff4"/>
    <w:qFormat/>
    <w:pPr>
      <w:outlineLvl w:val="6"/>
    </w:pPr>
  </w:style>
  <w:style w:type="paragraph" w:customStyle="1" w:styleId="afff7">
    <w:name w:val="附录四级条标题"/>
    <w:basedOn w:val="afff8"/>
    <w:next w:val="aff4"/>
    <w:qFormat/>
    <w:pPr>
      <w:outlineLvl w:val="5"/>
    </w:pPr>
  </w:style>
  <w:style w:type="paragraph" w:customStyle="1" w:styleId="afff8">
    <w:name w:val="附录三级条标题"/>
    <w:basedOn w:val="afff9"/>
    <w:next w:val="aff4"/>
    <w:qFormat/>
    <w:pPr>
      <w:outlineLvl w:val="4"/>
    </w:pPr>
  </w:style>
  <w:style w:type="paragraph" w:customStyle="1" w:styleId="afff9">
    <w:name w:val="附录二级条标题"/>
    <w:basedOn w:val="af4"/>
    <w:next w:val="aff4"/>
    <w:qFormat/>
    <w:pPr>
      <w:widowControl/>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a">
    <w:name w:val="附录标题"/>
    <w:basedOn w:val="aff4"/>
    <w:next w:val="aff4"/>
    <w:pPr>
      <w:ind w:firstLineChars="0" w:firstLine="0"/>
      <w:jc w:val="center"/>
    </w:pPr>
    <w:rPr>
      <w:rFonts w:ascii="黑体" w:eastAsia="黑体"/>
    </w:rPr>
  </w:style>
  <w:style w:type="paragraph" w:customStyle="1" w:styleId="afffb">
    <w:name w:val="注：（正文）"/>
    <w:basedOn w:val="afffc"/>
    <w:next w:val="aff4"/>
    <w:qFormat/>
  </w:style>
  <w:style w:type="paragraph" w:customStyle="1" w:styleId="afffc">
    <w:name w:val="注："/>
    <w:next w:val="aff4"/>
    <w:qFormat/>
    <w:pPr>
      <w:widowControl w:val="0"/>
      <w:autoSpaceDE w:val="0"/>
      <w:autoSpaceDN w:val="0"/>
      <w:ind w:left="726" w:hanging="363"/>
      <w:jc w:val="both"/>
    </w:pPr>
    <w:rPr>
      <w:rFonts w:ascii="宋体"/>
      <w:sz w:val="18"/>
      <w:szCs w:val="18"/>
    </w:rPr>
  </w:style>
  <w:style w:type="paragraph" w:customStyle="1" w:styleId="afffd">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e">
    <w:name w:val="附录一级无"/>
    <w:basedOn w:val="affff"/>
    <w:qFormat/>
    <w:pPr>
      <w:spacing w:beforeLines="0" w:afterLines="0"/>
    </w:pPr>
    <w:rPr>
      <w:rFonts w:ascii="宋体" w:eastAsia="宋体"/>
      <w:szCs w:val="21"/>
    </w:rPr>
  </w:style>
  <w:style w:type="paragraph" w:customStyle="1" w:styleId="affff">
    <w:name w:val="附录一级条标题"/>
    <w:basedOn w:val="af1"/>
    <w:next w:val="aff4"/>
    <w:qFormat/>
    <w:pPr>
      <w:numPr>
        <w:ilvl w:val="0"/>
        <w:numId w:val="0"/>
      </w:numPr>
      <w:autoSpaceDN w:val="0"/>
      <w:spacing w:beforeLines="50" w:afterLines="50"/>
      <w:outlineLvl w:val="2"/>
    </w:pPr>
  </w:style>
  <w:style w:type="paragraph" w:customStyle="1" w:styleId="af1">
    <w:name w:val="附录章标题"/>
    <w:next w:val="aff4"/>
    <w:qFormat/>
    <w:pPr>
      <w:numPr>
        <w:ilvl w:val="1"/>
        <w:numId w:val="3"/>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0">
    <w:name w:val="附录三级无"/>
    <w:basedOn w:val="afff8"/>
    <w:qFormat/>
    <w:pPr>
      <w:spacing w:beforeLines="0" w:afterLines="0"/>
    </w:pPr>
    <w:rPr>
      <w:rFonts w:ascii="宋体" w:eastAsia="宋体"/>
      <w:szCs w:val="21"/>
    </w:rPr>
  </w:style>
  <w:style w:type="paragraph" w:customStyle="1" w:styleId="affff1">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3">
    <w:name w:val="附录数字编号列项（二级）"/>
    <w:qFormat/>
    <w:pPr>
      <w:numPr>
        <w:ilvl w:val="1"/>
        <w:numId w:val="4"/>
      </w:numPr>
    </w:pPr>
    <w:rPr>
      <w:rFonts w:ascii="宋体"/>
      <w:sz w:val="21"/>
    </w:rPr>
  </w:style>
  <w:style w:type="paragraph" w:customStyle="1" w:styleId="affff2">
    <w:name w:val="标准书眉_偶数页"/>
    <w:basedOn w:val="affff3"/>
    <w:next w:val="af4"/>
    <w:qFormat/>
    <w:pPr>
      <w:jc w:val="left"/>
    </w:pPr>
  </w:style>
  <w:style w:type="paragraph" w:customStyle="1" w:styleId="affff3">
    <w:name w:val="标准书眉_奇数页"/>
    <w:next w:val="af4"/>
    <w:qFormat/>
    <w:pPr>
      <w:tabs>
        <w:tab w:val="center" w:pos="4154"/>
        <w:tab w:val="right" w:pos="8306"/>
      </w:tabs>
      <w:spacing w:after="220"/>
      <w:jc w:val="right"/>
    </w:pPr>
    <w:rPr>
      <w:rFonts w:ascii="黑体" w:eastAsia="黑体"/>
      <w:sz w:val="21"/>
      <w:szCs w:val="21"/>
    </w:rPr>
  </w:style>
  <w:style w:type="paragraph" w:customStyle="1" w:styleId="affff4">
    <w:name w:val="发布部门"/>
    <w:next w:val="aff4"/>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5">
    <w:name w:val="五级无"/>
    <w:basedOn w:val="affff6"/>
    <w:qFormat/>
    <w:pPr>
      <w:spacing w:beforeLines="0" w:afterLines="0"/>
    </w:pPr>
    <w:rPr>
      <w:rFonts w:ascii="宋体" w:eastAsia="宋体"/>
    </w:rPr>
  </w:style>
  <w:style w:type="paragraph" w:customStyle="1" w:styleId="affff6">
    <w:name w:val="五级条标题"/>
    <w:basedOn w:val="a4"/>
    <w:next w:val="aff4"/>
    <w:qFormat/>
    <w:pPr>
      <w:numPr>
        <w:ilvl w:val="0"/>
        <w:numId w:val="0"/>
      </w:numPr>
      <w:outlineLvl w:val="6"/>
    </w:pPr>
  </w:style>
  <w:style w:type="paragraph" w:customStyle="1" w:styleId="a4">
    <w:name w:val="四级条标题"/>
    <w:basedOn w:val="a3"/>
    <w:next w:val="aff4"/>
    <w:qFormat/>
    <w:pPr>
      <w:numPr>
        <w:ilvl w:val="4"/>
      </w:numPr>
      <w:outlineLvl w:val="5"/>
    </w:pPr>
  </w:style>
  <w:style w:type="paragraph" w:customStyle="1" w:styleId="affff7">
    <w:name w:val="封面一致性程度标识"/>
    <w:basedOn w:val="affff8"/>
    <w:qFormat/>
    <w:pPr>
      <w:framePr w:wrap="around"/>
      <w:spacing w:before="440"/>
    </w:pPr>
    <w:rPr>
      <w:rFonts w:ascii="宋体" w:eastAsia="宋体"/>
    </w:rPr>
  </w:style>
  <w:style w:type="paragraph" w:customStyle="1" w:styleId="affff8">
    <w:name w:val="封面标准英文名称"/>
    <w:basedOn w:val="afffd"/>
    <w:qFormat/>
    <w:pPr>
      <w:framePr w:wrap="around"/>
      <w:spacing w:before="370" w:line="400" w:lineRule="exact"/>
    </w:pPr>
    <w:rPr>
      <w:rFonts w:ascii="Times New Roman"/>
      <w:sz w:val="28"/>
      <w:szCs w:val="28"/>
    </w:rPr>
  </w:style>
  <w:style w:type="paragraph" w:customStyle="1" w:styleId="affff9">
    <w:name w:val="其他发布部门"/>
    <w:basedOn w:val="affff4"/>
    <w:qFormat/>
    <w:pPr>
      <w:framePr w:wrap="around" w:y="15310"/>
      <w:spacing w:line="0" w:lineRule="atLeast"/>
    </w:pPr>
    <w:rPr>
      <w:rFonts w:ascii="黑体" w:eastAsia="黑体"/>
      <w:b w:val="0"/>
    </w:rPr>
  </w:style>
  <w:style w:type="paragraph" w:customStyle="1" w:styleId="affffa">
    <w:name w:val="目次、标准名称标题"/>
    <w:basedOn w:val="af4"/>
    <w:next w:val="aff4"/>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5">
    <w:name w:val="附录图标号"/>
    <w:basedOn w:val="af4"/>
    <w:qFormat/>
    <w:pPr>
      <w:keepNext/>
      <w:pageBreakBefore/>
      <w:widowControl/>
      <w:numPr>
        <w:numId w:val="5"/>
      </w:numPr>
      <w:spacing w:line="14" w:lineRule="exact"/>
      <w:jc w:val="center"/>
      <w:outlineLvl w:val="0"/>
    </w:pPr>
    <w:rPr>
      <w:color w:val="FFFFFF"/>
    </w:rPr>
  </w:style>
  <w:style w:type="paragraph" w:customStyle="1" w:styleId="af">
    <w:name w:val="附录表标题"/>
    <w:basedOn w:val="af4"/>
    <w:next w:val="aff4"/>
    <w:qFormat/>
    <w:pPr>
      <w:numPr>
        <w:ilvl w:val="1"/>
        <w:numId w:val="6"/>
      </w:numPr>
      <w:spacing w:beforeLines="50" w:afterLines="50"/>
      <w:jc w:val="center"/>
    </w:pPr>
    <w:rPr>
      <w:rFonts w:ascii="黑体" w:eastAsia="黑体"/>
      <w:szCs w:val="21"/>
    </w:rPr>
  </w:style>
  <w:style w:type="paragraph" w:customStyle="1" w:styleId="affffb">
    <w:name w:val="附录公式编号制表符"/>
    <w:basedOn w:val="af4"/>
    <w:next w:val="aff4"/>
    <w:qFormat/>
    <w:pPr>
      <w:widowControl/>
      <w:tabs>
        <w:tab w:val="center" w:pos="4201"/>
        <w:tab w:val="right" w:leader="dot" w:pos="9298"/>
      </w:tabs>
      <w:autoSpaceDE w:val="0"/>
      <w:autoSpaceDN w:val="0"/>
    </w:pPr>
    <w:rPr>
      <w:rFonts w:ascii="宋体"/>
      <w:kern w:val="0"/>
      <w:szCs w:val="20"/>
    </w:rPr>
  </w:style>
  <w:style w:type="paragraph" w:customStyle="1" w:styleId="affffc">
    <w:name w:val="标准书脚_奇数页"/>
    <w:qFormat/>
    <w:pPr>
      <w:spacing w:before="120"/>
      <w:ind w:right="198"/>
      <w:jc w:val="right"/>
    </w:pPr>
    <w:rPr>
      <w:rFonts w:ascii="宋体"/>
      <w:sz w:val="18"/>
      <w:szCs w:val="18"/>
    </w:rPr>
  </w:style>
  <w:style w:type="paragraph" w:customStyle="1" w:styleId="af0">
    <w:name w:val="附录标识"/>
    <w:basedOn w:val="af4"/>
    <w:next w:val="aff4"/>
    <w:qFormat/>
    <w:pPr>
      <w:keepNext/>
      <w:widowControl/>
      <w:numPr>
        <w:numId w:val="3"/>
      </w:numPr>
      <w:shd w:val="clear" w:color="FFFFFF" w:fill="FFFFFF"/>
      <w:tabs>
        <w:tab w:val="left" w:pos="6405"/>
      </w:tabs>
      <w:spacing w:before="640" w:after="280"/>
      <w:jc w:val="center"/>
      <w:outlineLvl w:val="0"/>
    </w:pPr>
    <w:rPr>
      <w:rFonts w:ascii="黑体" w:eastAsia="黑体"/>
      <w:kern w:val="0"/>
      <w:szCs w:val="20"/>
    </w:rPr>
  </w:style>
  <w:style w:type="paragraph" w:customStyle="1" w:styleId="a">
    <w:name w:val="注×：（正文）"/>
    <w:qFormat/>
    <w:pPr>
      <w:numPr>
        <w:numId w:val="7"/>
      </w:numPr>
      <w:jc w:val="both"/>
    </w:pPr>
    <w:rPr>
      <w:rFonts w:ascii="宋体"/>
      <w:sz w:val="18"/>
      <w:szCs w:val="18"/>
    </w:rPr>
  </w:style>
  <w:style w:type="paragraph" w:customStyle="1" w:styleId="affffd">
    <w:name w:val="封面标准文稿编辑信息"/>
    <w:basedOn w:val="affffe"/>
    <w:qFormat/>
    <w:pPr>
      <w:framePr w:wrap="around"/>
      <w:spacing w:before="180" w:line="180" w:lineRule="exact"/>
    </w:pPr>
    <w:rPr>
      <w:sz w:val="21"/>
    </w:rPr>
  </w:style>
  <w:style w:type="paragraph" w:customStyle="1" w:styleId="affffe">
    <w:name w:val="封面标准文稿类别"/>
    <w:basedOn w:val="affff7"/>
    <w:qFormat/>
    <w:pPr>
      <w:framePr w:wrap="around"/>
      <w:spacing w:after="160" w:line="240" w:lineRule="auto"/>
    </w:pPr>
    <w:rPr>
      <w:sz w:val="24"/>
    </w:rPr>
  </w:style>
  <w:style w:type="paragraph" w:customStyle="1" w:styleId="afffff">
    <w:name w:val="目次、索引正文"/>
    <w:qFormat/>
    <w:pPr>
      <w:spacing w:line="320" w:lineRule="exact"/>
      <w:jc w:val="both"/>
    </w:pPr>
    <w:rPr>
      <w:rFonts w:ascii="宋体"/>
      <w:sz w:val="21"/>
    </w:rPr>
  </w:style>
  <w:style w:type="paragraph" w:customStyle="1" w:styleId="a9">
    <w:name w:val="列项◆（三级）"/>
    <w:basedOn w:val="af4"/>
    <w:qFormat/>
    <w:pPr>
      <w:numPr>
        <w:ilvl w:val="2"/>
        <w:numId w:val="8"/>
      </w:numPr>
    </w:pPr>
    <w:rPr>
      <w:rFonts w:ascii="宋体"/>
      <w:szCs w:val="21"/>
    </w:rPr>
  </w:style>
  <w:style w:type="paragraph" w:customStyle="1" w:styleId="afffff0">
    <w:name w:val="其他标准称谓"/>
    <w:next w:val="af4"/>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1">
    <w:name w:val="附录二级无"/>
    <w:basedOn w:val="afff9"/>
    <w:qFormat/>
    <w:pPr>
      <w:spacing w:beforeLines="0" w:afterLines="0"/>
    </w:pPr>
    <w:rPr>
      <w:rFonts w:ascii="宋体" w:eastAsia="宋体"/>
      <w:szCs w:val="21"/>
    </w:rPr>
  </w:style>
  <w:style w:type="paragraph" w:customStyle="1" w:styleId="afffff2">
    <w:name w:val="实施日期"/>
    <w:basedOn w:val="afffff3"/>
    <w:qFormat/>
    <w:pPr>
      <w:framePr w:wrap="around" w:vAnchor="page" w:hAnchor="text"/>
      <w:jc w:val="right"/>
    </w:pPr>
  </w:style>
  <w:style w:type="paragraph" w:customStyle="1" w:styleId="afffff3">
    <w:name w:val="发布日期"/>
    <w:qFormat/>
    <w:pPr>
      <w:framePr w:w="3997" w:h="471" w:hRule="exact" w:vSpace="181" w:wrap="around" w:hAnchor="page" w:x="7089" w:y="14097" w:anchorLock="1"/>
    </w:pPr>
    <w:rPr>
      <w:rFonts w:eastAsia="黑体"/>
      <w:sz w:val="28"/>
    </w:rPr>
  </w:style>
  <w:style w:type="paragraph" w:customStyle="1" w:styleId="afffff4">
    <w:name w:val="列项说明"/>
    <w:basedOn w:val="af4"/>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b">
    <w:name w:val="字母编号列项（一级）"/>
    <w:qFormat/>
    <w:pPr>
      <w:numPr>
        <w:numId w:val="9"/>
      </w:numPr>
      <w:jc w:val="both"/>
    </w:pPr>
    <w:rPr>
      <w:rFonts w:ascii="宋体"/>
      <w:sz w:val="21"/>
    </w:rPr>
  </w:style>
  <w:style w:type="paragraph" w:customStyle="1" w:styleId="ac">
    <w:name w:val="数字编号列项（二级）"/>
    <w:qFormat/>
    <w:pPr>
      <w:numPr>
        <w:ilvl w:val="1"/>
        <w:numId w:val="9"/>
      </w:numPr>
      <w:jc w:val="both"/>
    </w:pPr>
    <w:rPr>
      <w:rFonts w:ascii="宋体"/>
      <w:sz w:val="21"/>
    </w:rPr>
  </w:style>
  <w:style w:type="paragraph" w:customStyle="1" w:styleId="afffff5">
    <w:name w:val="图表脚注说明"/>
    <w:basedOn w:val="af4"/>
    <w:qFormat/>
    <w:pPr>
      <w:ind w:left="544" w:hanging="181"/>
    </w:pPr>
    <w:rPr>
      <w:rFonts w:ascii="宋体"/>
      <w:sz w:val="18"/>
      <w:szCs w:val="18"/>
    </w:rPr>
  </w:style>
  <w:style w:type="paragraph" w:customStyle="1" w:styleId="a8">
    <w:name w:val="列项●（二级）"/>
    <w:qFormat/>
    <w:pPr>
      <w:numPr>
        <w:ilvl w:val="1"/>
        <w:numId w:val="8"/>
      </w:numPr>
      <w:tabs>
        <w:tab w:val="left" w:pos="840"/>
      </w:tabs>
      <w:jc w:val="both"/>
    </w:pPr>
    <w:rPr>
      <w:rFonts w:ascii="宋体"/>
      <w:sz w:val="21"/>
    </w:rPr>
  </w:style>
  <w:style w:type="paragraph" w:customStyle="1" w:styleId="afffff6">
    <w:name w:val="示例"/>
    <w:next w:val="afffff7"/>
    <w:qFormat/>
    <w:pPr>
      <w:widowControl w:val="0"/>
      <w:ind w:firstLine="363"/>
      <w:jc w:val="both"/>
    </w:pPr>
    <w:rPr>
      <w:rFonts w:ascii="宋体"/>
      <w:sz w:val="18"/>
      <w:szCs w:val="18"/>
    </w:rPr>
  </w:style>
  <w:style w:type="paragraph" w:customStyle="1" w:styleId="afffff7">
    <w:name w:val="示例内容"/>
    <w:qFormat/>
    <w:pPr>
      <w:ind w:firstLineChars="200" w:firstLine="200"/>
    </w:pPr>
    <w:rPr>
      <w:rFonts w:ascii="宋体"/>
      <w:sz w:val="18"/>
      <w:szCs w:val="18"/>
    </w:rPr>
  </w:style>
  <w:style w:type="paragraph" w:customStyle="1" w:styleId="CharChar">
    <w:name w:val="Char Char"/>
    <w:basedOn w:val="af4"/>
    <w:qFormat/>
    <w:rPr>
      <w:rFonts w:ascii="黑体" w:eastAsia="黑体"/>
      <w:sz w:val="36"/>
      <w:szCs w:val="36"/>
    </w:rPr>
  </w:style>
  <w:style w:type="paragraph" w:customStyle="1" w:styleId="CharChar1">
    <w:name w:val="Char Char1"/>
    <w:basedOn w:val="af4"/>
    <w:qFormat/>
    <w:rPr>
      <w:rFonts w:ascii="黑体" w:eastAsia="黑体"/>
      <w:sz w:val="36"/>
      <w:szCs w:val="36"/>
    </w:rPr>
  </w:style>
  <w:style w:type="paragraph" w:customStyle="1" w:styleId="afffff8">
    <w:name w:val="参考文献、索引标题"/>
    <w:basedOn w:val="af4"/>
    <w:next w:val="aff4"/>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9">
    <w:name w:val="正文表标题"/>
    <w:next w:val="aff4"/>
    <w:qFormat/>
    <w:pPr>
      <w:tabs>
        <w:tab w:val="left" w:pos="360"/>
      </w:tabs>
      <w:spacing w:beforeLines="50" w:afterLines="50"/>
      <w:jc w:val="center"/>
    </w:pPr>
    <w:rPr>
      <w:rFonts w:ascii="黑体" w:eastAsia="黑体"/>
      <w:sz w:val="21"/>
    </w:rPr>
  </w:style>
  <w:style w:type="paragraph" w:customStyle="1" w:styleId="afffffa">
    <w:name w:val="二级无"/>
    <w:basedOn w:val="a2"/>
    <w:qFormat/>
    <w:pPr>
      <w:spacing w:beforeLines="0" w:afterLines="0"/>
      <w:ind w:left="567"/>
    </w:pPr>
    <w:rPr>
      <w:rFonts w:ascii="宋体" w:eastAsia="宋体"/>
    </w:rPr>
  </w:style>
  <w:style w:type="paragraph" w:styleId="afffffb">
    <w:name w:val="List Paragraph"/>
    <w:basedOn w:val="af4"/>
    <w:uiPriority w:val="34"/>
    <w:qFormat/>
    <w:pPr>
      <w:ind w:firstLineChars="200" w:firstLine="420"/>
    </w:pPr>
  </w:style>
  <w:style w:type="paragraph" w:customStyle="1" w:styleId="afffffc">
    <w:name w:val="图标脚注说明"/>
    <w:basedOn w:val="aff4"/>
    <w:qFormat/>
    <w:pPr>
      <w:ind w:left="840" w:firstLineChars="0" w:hanging="420"/>
    </w:pPr>
    <w:rPr>
      <w:sz w:val="18"/>
      <w:szCs w:val="18"/>
    </w:rPr>
  </w:style>
  <w:style w:type="paragraph" w:customStyle="1" w:styleId="afffffd">
    <w:name w:val="其他标准标志"/>
    <w:basedOn w:val="afffffe"/>
    <w:qFormat/>
    <w:pPr>
      <w:framePr w:w="6101" w:wrap="around" w:vAnchor="page" w:hAnchor="page" w:x="4673" w:y="942"/>
    </w:pPr>
    <w:rPr>
      <w:w w:val="130"/>
    </w:rPr>
  </w:style>
  <w:style w:type="paragraph" w:customStyle="1" w:styleId="afffffe">
    <w:name w:val="标准标志"/>
    <w:next w:val="af4"/>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20">
    <w:name w:val="封面一致性程度标识2"/>
    <w:basedOn w:val="affff7"/>
    <w:qFormat/>
    <w:pPr>
      <w:framePr w:wrap="around" w:y="4469"/>
    </w:pPr>
  </w:style>
  <w:style w:type="paragraph" w:customStyle="1" w:styleId="affffff">
    <w:name w:val="标准书眉一"/>
    <w:qFormat/>
    <w:pPr>
      <w:jc w:val="both"/>
    </w:pPr>
  </w:style>
  <w:style w:type="paragraph" w:customStyle="1" w:styleId="affffff0">
    <w:name w:val="封面正文"/>
    <w:qFormat/>
    <w:pPr>
      <w:jc w:val="both"/>
    </w:pPr>
  </w:style>
  <w:style w:type="paragraph" w:customStyle="1" w:styleId="13">
    <w:name w:val="样式 标题 1 + 非加粗"/>
    <w:basedOn w:val="1"/>
    <w:qFormat/>
    <w:pPr>
      <w:spacing w:beforeLines="100" w:afterLines="100" w:line="240" w:lineRule="auto"/>
    </w:pPr>
    <w:rPr>
      <w:rFonts w:eastAsia="黑体"/>
      <w:b w:val="0"/>
      <w:bCs w:val="0"/>
      <w:sz w:val="21"/>
    </w:rPr>
  </w:style>
  <w:style w:type="paragraph" w:customStyle="1" w:styleId="af2">
    <w:name w:val="附录字母编号列项（一级）"/>
    <w:qFormat/>
    <w:pPr>
      <w:numPr>
        <w:numId w:val="4"/>
      </w:numPr>
    </w:pPr>
    <w:rPr>
      <w:rFonts w:ascii="宋体"/>
      <w:sz w:val="21"/>
    </w:rPr>
  </w:style>
  <w:style w:type="paragraph" w:customStyle="1" w:styleId="ad">
    <w:name w:val="编号列项（三级）"/>
    <w:qFormat/>
    <w:pPr>
      <w:numPr>
        <w:ilvl w:val="2"/>
        <w:numId w:val="9"/>
      </w:numPr>
    </w:pPr>
    <w:rPr>
      <w:rFonts w:ascii="宋体"/>
      <w:sz w:val="21"/>
    </w:rPr>
  </w:style>
  <w:style w:type="paragraph" w:customStyle="1" w:styleId="affffff1">
    <w:name w:val="正文公式编号制表符"/>
    <w:basedOn w:val="aff4"/>
    <w:next w:val="aff4"/>
    <w:qFormat/>
    <w:pPr>
      <w:ind w:firstLineChars="0" w:firstLine="0"/>
    </w:pPr>
  </w:style>
  <w:style w:type="paragraph" w:customStyle="1" w:styleId="a7">
    <w:name w:val="列项——（一级）"/>
    <w:qFormat/>
    <w:pPr>
      <w:widowControl w:val="0"/>
      <w:numPr>
        <w:numId w:val="8"/>
      </w:numPr>
      <w:jc w:val="both"/>
    </w:pPr>
    <w:rPr>
      <w:rFonts w:ascii="宋体"/>
      <w:sz w:val="21"/>
    </w:rPr>
  </w:style>
  <w:style w:type="paragraph" w:customStyle="1" w:styleId="affffff2">
    <w:name w:val="四级无"/>
    <w:basedOn w:val="a4"/>
    <w:qFormat/>
    <w:pPr>
      <w:spacing w:beforeLines="0" w:afterLines="0"/>
    </w:pPr>
    <w:rPr>
      <w:rFonts w:ascii="宋体" w:eastAsia="宋体"/>
    </w:r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3">
    <w:name w:val="附录四级无"/>
    <w:basedOn w:val="afff7"/>
    <w:qFormat/>
    <w:pPr>
      <w:spacing w:beforeLines="0" w:afterLines="0"/>
    </w:pPr>
    <w:rPr>
      <w:rFonts w:ascii="宋体" w:eastAsia="宋体"/>
      <w:szCs w:val="21"/>
    </w:rPr>
  </w:style>
  <w:style w:type="paragraph" w:customStyle="1" w:styleId="22">
    <w:name w:val="封面标准英文名称2"/>
    <w:basedOn w:val="affff8"/>
    <w:qFormat/>
    <w:pPr>
      <w:framePr w:wrap="around" w:y="4469"/>
    </w:pPr>
  </w:style>
  <w:style w:type="paragraph" w:customStyle="1" w:styleId="23">
    <w:name w:val="封面标准文稿类别2"/>
    <w:basedOn w:val="affffe"/>
    <w:qFormat/>
    <w:pPr>
      <w:framePr w:wrap="around" w:y="4469"/>
    </w:pPr>
  </w:style>
  <w:style w:type="paragraph" w:customStyle="1" w:styleId="affffff4">
    <w:name w:val="示例×："/>
    <w:basedOn w:val="a0"/>
    <w:qFormat/>
    <w:pPr>
      <w:numPr>
        <w:numId w:val="0"/>
      </w:numPr>
      <w:spacing w:beforeLines="0" w:afterLines="0"/>
      <w:ind w:firstLine="363"/>
      <w:outlineLvl w:val="9"/>
    </w:pPr>
    <w:rPr>
      <w:rFonts w:ascii="宋体" w:eastAsia="宋体"/>
      <w:sz w:val="18"/>
      <w:szCs w:val="18"/>
    </w:rPr>
  </w:style>
  <w:style w:type="paragraph" w:customStyle="1" w:styleId="a0">
    <w:name w:val="章标题"/>
    <w:next w:val="aff4"/>
    <w:qFormat/>
    <w:pPr>
      <w:numPr>
        <w:numId w:val="2"/>
      </w:numPr>
      <w:spacing w:beforeLines="100" w:afterLines="100"/>
      <w:jc w:val="both"/>
      <w:outlineLvl w:val="1"/>
    </w:pPr>
    <w:rPr>
      <w:rFonts w:ascii="黑体" w:eastAsia="黑体"/>
      <w:sz w:val="21"/>
    </w:rPr>
  </w:style>
  <w:style w:type="paragraph" w:customStyle="1" w:styleId="14">
    <w:name w:val="封面标准号1"/>
    <w:qFormat/>
    <w:pPr>
      <w:widowControl w:val="0"/>
      <w:kinsoku w:val="0"/>
      <w:overflowPunct w:val="0"/>
      <w:autoSpaceDE w:val="0"/>
      <w:autoSpaceDN w:val="0"/>
      <w:spacing w:before="308"/>
      <w:jc w:val="right"/>
      <w:textAlignment w:val="center"/>
    </w:pPr>
    <w:rPr>
      <w:sz w:val="28"/>
    </w:rPr>
  </w:style>
  <w:style w:type="paragraph" w:customStyle="1" w:styleId="a6">
    <w:name w:val="附录图标题"/>
    <w:basedOn w:val="af4"/>
    <w:next w:val="aff4"/>
    <w:qFormat/>
    <w:pPr>
      <w:numPr>
        <w:ilvl w:val="1"/>
        <w:numId w:val="5"/>
      </w:numPr>
      <w:spacing w:beforeLines="50" w:afterLines="50"/>
      <w:jc w:val="center"/>
    </w:pPr>
    <w:rPr>
      <w:rFonts w:ascii="黑体" w:eastAsia="黑体"/>
      <w:szCs w:val="21"/>
    </w:rPr>
  </w:style>
  <w:style w:type="paragraph" w:customStyle="1" w:styleId="affffff5">
    <w:name w:val="其他实施日期"/>
    <w:basedOn w:val="afffff2"/>
    <w:qFormat/>
    <w:pPr>
      <w:framePr w:wrap="around" w:vAnchor="margin" w:hAnchor="page"/>
    </w:pPr>
  </w:style>
  <w:style w:type="paragraph" w:customStyle="1" w:styleId="affffff6">
    <w:name w:val="三级无"/>
    <w:basedOn w:val="a3"/>
    <w:qFormat/>
    <w:pPr>
      <w:spacing w:beforeLines="0" w:afterLines="0"/>
    </w:pPr>
    <w:rPr>
      <w:rFonts w:ascii="宋体" w:eastAsia="宋体"/>
    </w:rPr>
  </w:style>
  <w:style w:type="paragraph" w:customStyle="1" w:styleId="24">
    <w:name w:val="封面标准名称2"/>
    <w:basedOn w:val="afffd"/>
    <w:qFormat/>
    <w:pPr>
      <w:framePr w:wrap="around" w:y="4469"/>
      <w:spacing w:beforeLines="630"/>
    </w:pPr>
  </w:style>
  <w:style w:type="paragraph" w:customStyle="1" w:styleId="affffff7">
    <w:name w:val="正文图标题"/>
    <w:next w:val="aff4"/>
    <w:qFormat/>
    <w:pPr>
      <w:tabs>
        <w:tab w:val="left" w:pos="360"/>
      </w:tabs>
      <w:spacing w:beforeLines="50" w:afterLines="50"/>
      <w:jc w:val="center"/>
    </w:pPr>
    <w:rPr>
      <w:rFonts w:ascii="黑体" w:eastAsia="黑体"/>
      <w:sz w:val="21"/>
    </w:rPr>
  </w:style>
  <w:style w:type="paragraph" w:customStyle="1" w:styleId="affffff8">
    <w:name w:val="示例后文字"/>
    <w:basedOn w:val="aff4"/>
    <w:next w:val="aff4"/>
    <w:qFormat/>
    <w:pPr>
      <w:ind w:firstLine="360"/>
    </w:pPr>
    <w:rPr>
      <w:sz w:val="18"/>
    </w:rPr>
  </w:style>
  <w:style w:type="paragraph" w:customStyle="1" w:styleId="affffff9">
    <w:name w:val="其他发布日期"/>
    <w:basedOn w:val="afffff3"/>
    <w:qFormat/>
    <w:pPr>
      <w:framePr w:wrap="around" w:vAnchor="page" w:hAnchor="text" w:x="1419"/>
    </w:pPr>
  </w:style>
  <w:style w:type="paragraph" w:customStyle="1" w:styleId="25">
    <w:name w:val="封面标准文稿编辑信息2"/>
    <w:basedOn w:val="affffd"/>
    <w:qFormat/>
    <w:pPr>
      <w:framePr w:wrap="around" w:y="4469"/>
    </w:pPr>
  </w:style>
  <w:style w:type="paragraph" w:customStyle="1" w:styleId="affffffa">
    <w:name w:val="一级无"/>
    <w:basedOn w:val="a1"/>
    <w:qFormat/>
    <w:pPr>
      <w:spacing w:before="156" w:after="156"/>
    </w:pPr>
    <w:rPr>
      <w:rFonts w:ascii="Times New Roman" w:eastAsia="宋体"/>
      <w:color w:val="000000"/>
    </w:rPr>
  </w:style>
  <w:style w:type="paragraph" w:customStyle="1" w:styleId="TOC10">
    <w:name w:val="TOC 标题1"/>
    <w:basedOn w:val="1"/>
    <w:next w:val="af4"/>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affffffb">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e">
    <w:name w:val="附录表标号"/>
    <w:basedOn w:val="af4"/>
    <w:next w:val="aff4"/>
    <w:qFormat/>
    <w:pPr>
      <w:numPr>
        <w:numId w:val="6"/>
      </w:numPr>
      <w:spacing w:line="14" w:lineRule="exact"/>
      <w:jc w:val="center"/>
      <w:outlineLvl w:val="0"/>
    </w:pPr>
    <w:rPr>
      <w:color w:val="FFFFFF"/>
    </w:rPr>
  </w:style>
  <w:style w:type="paragraph" w:customStyle="1" w:styleId="affffffc">
    <w:name w:val="标准称谓"/>
    <w:next w:val="af4"/>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d">
    <w:name w:val="标准书脚_偶数页"/>
    <w:qFormat/>
    <w:pPr>
      <w:spacing w:before="120"/>
      <w:ind w:left="221"/>
    </w:pPr>
    <w:rPr>
      <w:rFonts w:ascii="宋体"/>
      <w:sz w:val="18"/>
      <w:szCs w:val="18"/>
    </w:rPr>
  </w:style>
  <w:style w:type="paragraph" w:customStyle="1" w:styleId="affffffe">
    <w:name w:val="条文脚注"/>
    <w:basedOn w:val="aa"/>
    <w:qFormat/>
    <w:pPr>
      <w:numPr>
        <w:numId w:val="0"/>
      </w:numPr>
      <w:jc w:val="both"/>
    </w:pPr>
  </w:style>
  <w:style w:type="paragraph" w:customStyle="1" w:styleId="afffffff">
    <w:name w:val="列项说明数字编号"/>
    <w:qFormat/>
    <w:pPr>
      <w:ind w:leftChars="400" w:left="600" w:hangingChars="200" w:hanging="200"/>
    </w:pPr>
    <w:rPr>
      <w:rFonts w:ascii="宋体"/>
      <w:sz w:val="21"/>
    </w:rPr>
  </w:style>
  <w:style w:type="paragraph" w:customStyle="1" w:styleId="afffffff0">
    <w:name w:val="终结线"/>
    <w:basedOn w:val="af4"/>
    <w:qFormat/>
    <w:pPr>
      <w:framePr w:hSpace="181" w:vSpace="181" w:wrap="around" w:vAnchor="text" w:hAnchor="margin" w:xAlign="center" w:y="285"/>
    </w:pPr>
  </w:style>
  <w:style w:type="paragraph" w:customStyle="1" w:styleId="afffffff1">
    <w:name w:val="前言、引言标题"/>
    <w:next w:val="aff4"/>
    <w:qFormat/>
    <w:pPr>
      <w:keepNext/>
      <w:pageBreakBefore/>
      <w:shd w:val="clear" w:color="FFFFFF" w:fill="FFFFFF"/>
      <w:spacing w:before="640" w:after="560"/>
      <w:jc w:val="center"/>
      <w:outlineLvl w:val="0"/>
    </w:pPr>
    <w:rPr>
      <w:rFonts w:ascii="黑体" w:eastAsia="黑体"/>
      <w:sz w:val="32"/>
    </w:rPr>
  </w:style>
  <w:style w:type="paragraph" w:customStyle="1" w:styleId="afffffff2">
    <w:name w:val="图的脚注"/>
    <w:next w:val="aff4"/>
    <w:qFormat/>
    <w:pPr>
      <w:widowControl w:val="0"/>
      <w:ind w:leftChars="200" w:left="840" w:hangingChars="200" w:hanging="420"/>
      <w:jc w:val="both"/>
    </w:pPr>
    <w:rPr>
      <w:rFonts w:ascii="宋体"/>
      <w:sz w:val="18"/>
    </w:rPr>
  </w:style>
  <w:style w:type="paragraph" w:customStyle="1" w:styleId="Default">
    <w:name w:val="Default"/>
    <w:uiPriority w:val="99"/>
    <w:unhideWhenUsed/>
    <w:qFormat/>
    <w:pPr>
      <w:widowControl w:val="0"/>
      <w:autoSpaceDE w:val="0"/>
      <w:autoSpaceDN w:val="0"/>
      <w:adjustRightInd w:val="0"/>
    </w:pPr>
    <w:rPr>
      <w:rFonts w:ascii="仿宋" w:eastAsia="仿宋" w:hAnsi="仿宋"/>
      <w:color w:val="000000"/>
      <w:sz w:val="24"/>
    </w:rPr>
  </w:style>
  <w:style w:type="character" w:customStyle="1" w:styleId="60">
    <w:name w:val="标题 6 字符"/>
    <w:link w:val="6"/>
    <w:semiHidden/>
    <w:qFormat/>
    <w:rPr>
      <w:rFonts w:ascii="等线 Light" w:eastAsia="等线 Light" w:hAnsi="等线 Light" w:cs="Times New Roman"/>
      <w:b/>
      <w:bCs/>
      <w:kern w:val="2"/>
      <w:sz w:val="24"/>
      <w:szCs w:val="24"/>
    </w:rPr>
  </w:style>
  <w:style w:type="character" w:customStyle="1" w:styleId="aff0">
    <w:name w:val="页脚 字符"/>
    <w:link w:val="aff"/>
    <w:uiPriority w:val="99"/>
    <w:qFormat/>
    <w:rPr>
      <w:kern w:val="2"/>
      <w:sz w:val="18"/>
      <w:szCs w:val="18"/>
    </w:rPr>
  </w:style>
  <w:style w:type="paragraph" w:customStyle="1" w:styleId="TOC20">
    <w:name w:val="TOC 标题2"/>
    <w:basedOn w:val="1"/>
    <w:next w:val="af4"/>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table" w:customStyle="1" w:styleId="15">
    <w:name w:val="网格型1"/>
    <w:basedOn w:val="af6"/>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3">
    <w:name w:val="标准文件_段"/>
    <w:link w:val="Char4"/>
    <w:qFormat/>
    <w:pPr>
      <w:autoSpaceDE w:val="0"/>
      <w:autoSpaceDN w:val="0"/>
      <w:ind w:firstLineChars="200" w:firstLine="200"/>
      <w:jc w:val="both"/>
    </w:pPr>
    <w:rPr>
      <w:rFonts w:ascii="宋体"/>
      <w:sz w:val="21"/>
    </w:rPr>
  </w:style>
  <w:style w:type="character" w:customStyle="1" w:styleId="Char4">
    <w:name w:val="标准文件_段 Char"/>
    <w:link w:val="afffffff3"/>
    <w:qFormat/>
    <w:rPr>
      <w:rFonts w:ascii="宋体"/>
      <w:sz w:val="21"/>
    </w:rPr>
  </w:style>
  <w:style w:type="character" w:customStyle="1" w:styleId="afc">
    <w:name w:val="日期 字符"/>
    <w:basedOn w:val="af5"/>
    <w:link w:val="afb"/>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23\Desktop\02_GZBD&#26631;&#2093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B42271-4F4C-47BF-9461-AD28F0B93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02_GZBD标准模板.dotx</Template>
  <TotalTime>5</TotalTime>
  <Pages>18</Pages>
  <Words>2539</Words>
  <Characters>14473</Characters>
  <Application>Microsoft Office Word</Application>
  <DocSecurity>0</DocSecurity>
  <Lines>120</Lines>
  <Paragraphs>33</Paragraphs>
  <ScaleCrop>false</ScaleCrop>
  <LinksUpToDate>false</LinksUpToDate>
  <CharactersWithSpaces>16979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cp:lastPrinted>2018-07-04T02:56:00Z</cp:lastPrinted>
  <dcterms:created xsi:type="dcterms:W3CDTF">2022-04-11T01:48:00Z</dcterms:created>
  <dcterms:modified xsi:type="dcterms:W3CDTF">2023-08-14T02:50:00Z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1EE75EFC51674A14BCCC2812E05C04C0_12</vt:lpwstr>
  </property>
</Properties>
</file>